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ASSET PURCHASE AGREEMENT — ANNOTATED OUTLINE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The most common deal structure for Main Street sales.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60"/>
      </w:pPr>
      <w:r>
        <w:rPr>
          <w:b/>
          <w:bCs/>
          <w:color w:val="AA0000"/>
        </w:rPr>
        <w:t xml:space="preserve">THIS DOCUMENT MUST BE DRAFTED BY AN ATTORNEY. This outline exists so you can brief counsel, read their draft intelligently, and make sure nothing is missing — not to be signed as-is.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PARTIES &amp; RECITALS</w:t>
      </w:r>
    </w:p>
    <w:p>
      <w:pPr>
        <w:spacing w:after="120"/>
      </w:pPr>
      <w:r>
        <w:t xml:space="preserve">Buyer (usually a newly formed entity), Seller entity AND its owners individually (for reps and the non-compete), effective date, background recitals.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PURCHASED &amp; EXCLUDED ASSETS</w:t>
      </w:r>
    </w:p>
    <w:p>
      <w:pPr>
        <w:spacing w:after="120"/>
      </w:pPr>
      <w:r>
        <w:t xml:space="preserve">Schedule everything transferred: FF&amp;E, inventory, goodwill, name/phone/domain, customer lists, assignable contracts, permits. Explicitly exclude: cash, bank accounts, receivables (if excluded), personal items, the entity itself.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3. PURCHASE PRICE, ALLOCATION &amp; HOLDBACK</w:t>
      </w:r>
    </w:p>
    <w:p>
      <w:pPr>
        <w:spacing w:after="120"/>
      </w:pPr>
      <w:r>
        <w:t xml:space="preserve">Total price; payment mechanics (cash, escrow, seller note reference); inventory adjustment mechanism; any indemnity holdback/escrow (amount, duration, release conditions); IRS Form 8594 allocation agreed by both parties and — critically — reported identically by both.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4. ASSUMED LIABILITIES</w:t>
      </w:r>
    </w:p>
    <w:p>
      <w:pPr>
        <w:spacing w:after="120"/>
      </w:pPr>
      <w:r>
        <w:t xml:space="preserve">Default: none. List the narrow exceptions (e.g., obligations under assigned contracts arising after closing). Everything pre-closing stays with Seller.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5. REPRESENTATIONS &amp; WARRANTIES — SELLER</w:t>
      </w:r>
    </w:p>
    <w:p>
      <w:pPr>
        <w:spacing w:after="120"/>
      </w:pPr>
      <w:r>
        <w:t xml:space="preserve">Financial statements accurate; taxes filed and paid; no undisclosed liabilities; assets owned free of liens; contracts valid and disclosed; compliance with laws; no pending litigation; employees/benefits disclosed; survival period [18–24] months. Exceptions live in the Disclosure Schedules — insist they are complete and specific.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6. REPRESENTATIONS &amp; WARRANTIES — BUYER</w:t>
      </w:r>
    </w:p>
    <w:p>
      <w:pPr>
        <w:spacing w:after="120"/>
      </w:pPr>
      <w:r>
        <w:t xml:space="preserve">Authority to enter; funds/financing to close; no reliance on statements outside the agreement.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7. COVENANTS</w:t>
      </w:r>
    </w:p>
    <w:p>
      <w:pPr>
        <w:spacing w:after="120"/>
      </w:pPr>
      <w:r>
        <w:t xml:space="preserve">Pre-closing: ordinary-course operation, access for diligence, no shop. Post-closing: transition assistance terms, further assurances, name change if the entity name conveys.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8. EMPLOYEE MATTERS</w:t>
      </w:r>
    </w:p>
    <w:p>
      <w:pPr>
        <w:spacing w:after="120"/>
      </w:pPr>
      <w:r>
        <w:t xml:space="preserve">Buyer's offers of employment (at will, new terms); Seller pays accrued wages/PTO through closing (or it is prorated); no assumption of Seller's benefit plans; agreed joint communication plan to staff.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9. BULK SALES &amp; TAX CLEARANCE</w:t>
      </w:r>
    </w:p>
    <w:p>
      <w:pPr>
        <w:spacing w:after="120"/>
      </w:pPr>
      <w:r>
        <w:t xml:space="preserve">Comply with any state bulk-transfer notification and obtain sales/employment tax clearance certificates (or escrow for exposure) — this is the classic Main Street successor-liability trap. Confirm state-specific requirements with counsel.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10. CLOSING CONDITIONS &amp; DELIVERABLES</w:t>
      </w:r>
    </w:p>
    <w:p>
      <w:pPr>
        <w:spacing w:after="120"/>
      </w:pPr>
      <w:r>
        <w:t xml:space="preserve">Conditions: financing funded; lease assigned or new lease signed; licenses transferred or reissued; lien releases delivered; no material adverse change; landlord/franchisor consents. Deliverables at closing: bill of sale; assignment agreements; note + security agreement + guarantees; non-compete; 8594; resolutions; keys/codes/credentials list.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11. INDEMNIFICATION</w:t>
      </w:r>
    </w:p>
    <w:p>
      <w:pPr>
        <w:spacing w:after="120"/>
      </w:pPr>
      <w:r>
        <w:t xml:space="preserve">Each party indemnifies for breaches; caps (often a % of price), baskets/deductibles (e.g., claims over $[10,000]), survival periods; Buyer's right of set-off against the seller note is the most practical remedy — negotiate it explicitly and cross-reference the note.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12. NON-COMPETE &amp; NON-SOLICIT</w:t>
      </w:r>
    </w:p>
    <w:p>
      <w:pPr>
        <w:spacing w:after="120"/>
      </w:pPr>
      <w:r>
        <w:t xml:space="preserve">Seller and owners: [5] years, [50]-mile radius (or customer-based scope), no solicitation of employees or customers; allocated a value in the price allocation.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13. RISK OF LOSS; CASUALTY</w:t>
      </w:r>
    </w:p>
    <w:p>
      <w:pPr>
        <w:spacing w:after="120"/>
      </w:pPr>
      <w:r>
        <w:t xml:space="preserve">Business operated at Seller's risk until closing; options if material damage occurs before closing.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14. GENERAL PROVISIONS</w:t>
      </w:r>
    </w:p>
    <w:p>
      <w:pPr>
        <w:spacing w:after="120"/>
      </w:pPr>
      <w:r>
        <w:t xml:space="preserve">Governing law and venue; notices; assignment (Buyer may assign to its entity); entire agreement; counterparts/e-signatures; dispute resolution; attorney's fees to prevailing party.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Bring this outline plus the signed LOI and term sheet to the drafting attorney — it cuts drafting cost and misses nothing.</w:t>
      </w:r>
    </w:p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2026-07-02T11:48:53.797Z</dcterms:created>
  <dcterms:modified xsi:type="dcterms:W3CDTF">2026-07-02T11:48:53.797Z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