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CLOSING CHECKLIST &amp; FUNDS-FLOW STATEMENT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Coordinates the final steps and who gets paid what.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CONDITIONS CONFIRMED BEFORE CLOSING DAY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Financing funded / lender closing package complete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Lease assignment or new lease signed by landlord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License / permit transfers approved (or timing agreed in writing)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Lien payoff letters obtained — payoff amounts confirmed directly with each lienholder, wired directly at closing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Sales/employment tax clearance certificates or bulk-sale notice filed (state-specific — successor liability)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Final inventory count scheduled — method agreed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Insurance bound by Buyer effective at closing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Utilities, merchant accounts, subscriptions transfer list ready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2. DOCUMENTS SIGNED AT CLOSING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Asset Purchase Agreement (if not pre-signed) + disclosure schedules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Bill of Sale + schedules (notarized if required)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Promissory note + security agreement + personal guarantees (if seller financing)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Non-compete agreement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Lease assignment / new lease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IRS 8594 allocation (both parties, identical)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Corporate resolutions / consents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3. FUNDS-FLOW STATEMENT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160"/>
        <w:gridCol w:w="3200"/>
      </w:tblGrid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SOURCES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Amount ($)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Buyer cash / equity injection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SBA / bank loan proceeds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Seller note (non-cash)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TOTAL SOURCES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160"/>
        <w:gridCol w:w="3200"/>
      </w:tblGrid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USES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Amount ($)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Payoff of liens / equipment loans (direct to lienholders)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Broker success fee (direct at closing)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Escrow / attorney / closing costs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Prorations (rent, utilities, payroll)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Inventory adjustment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Net proceeds to Seller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TOTAL USES</w:t>
            </w:r>
          </w:p>
        </w:tc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120"/>
      </w:pPr>
      <w:r>
        <w:rPr>
          <w:b/>
          <w:bCs/>
          <w:sz w:val="20"/>
          <w:szCs w:val="20"/>
        </w:rPr>
        <w:t xml:space="preserve">APPROVAL OF FUNDS FLOW — the parties approve the sources and uses above and authorize the closing agent to disburse accordingly:</w:t>
      </w:r>
    </w:p>
    <w:p>
      <w:pPr>
        <w:spacing w:after="60"/>
      </w:pPr>
      <w:r>
        <w:t xml:space="preserve"/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BUYER (APPROVED)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  <w:tc>
          <w:tcPr>
            <w:tcW w:type="dxa" w:w="4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20"/>
            </w:pPr>
            <w:r>
              <w:t xml:space="preserve"/>
            </w:r>
          </w:p>
        </w:tc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SELLER (APPROVED)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4. PRORATIONS AS OF CLOSING DATE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sz w:val="20"/>
          <w:szCs w:val="20"/>
        </w:rPr>
        <w:t xml:space="preserve">Rent &amp; CAM charges · utilities · prepaid service contracts · payroll and accrued PTO (if assumed) · local taxes/licenses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5. POSSESSION &amp; CREDENTIALS TRANSFER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Keys, alarm codes, safe combinations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Bank/merchant account changes; POS admin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Domain, website, email, social accounts, Google Business Profile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Software admin logins &amp; license transfers; customer list files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Vendor account contacts notified per communication plan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6. FIRST WEEK POST-CLOSE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Training/transition schedule begins per agreement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Announcement plan executed (staff first, then customers)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Broker: collect fully signed closing set, deliver copies to both parties, request testimonial</w:t>
      </w:r>
    </w:p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2026-07-02T11:48:53.877Z</dcterms:created>
  <dcterms:modified xsi:type="dcterms:W3CDTF">2026-07-02T11:48:53.877Z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