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AA0000"/>
          <w:sz w:val="28"/>
          <w:szCs w:val="28"/>
        </w:rPr>
        <w:t xml:space="preserve">CONFIDENTIAL</w:t>
      </w:r>
    </w:p>
    <w:p>
      <w:pPr>
        <w:spacing w:after="60"/>
      </w:pPr>
      <w:r>
        <w:rPr>
          <w:b/>
          <w:bCs/>
          <w:sz w:val="34"/>
          <w:szCs w:val="34"/>
        </w:rPr>
        <w:t xml:space="preserve">CONFIDENTIAL INFORMATION MEMORANDUM</w:t>
      </w:r>
    </w:p>
    <w:p>
      <w:pPr>
        <w:pBdr>
          <w:bottom w:val="single" w:color="9BC400" w:sz="8" w:space="2"/>
        </w:pBdr>
        <w:spacing w:after="80"/>
      </w:pPr>
      <w:r>
        <w:rPr>
          <w:i/>
          <w:iCs/>
          <w:color w:val="555555"/>
          <w:sz w:val="21"/>
          <w:szCs w:val="21"/>
        </w:rPr>
        <w:t xml:space="preserve">The core sell-side document that markets the business to qualified buyers.</w:t>
      </w:r>
    </w:p>
    <w:p>
      <w:pPr>
        <w:spacing w:after="200"/>
      </w:pPr>
      <w:r>
        <w:rPr>
          <w:i/>
          <w:iCs/>
          <w:color w:val="777777"/>
          <w:sz w:val="18"/>
          <w:szCs w:val="18"/>
        </w:rPr>
        <w:t xml:space="preserve">How to use: replace every [BRACKETED] field and blank line with your deal's details; delete italic guidance notes and any optional clause you do not use before sending.</w:t>
      </w:r>
    </w:p>
    <w:p>
      <w:pPr>
        <w:spacing w:after="60"/>
      </w:pPr>
      <w:r>
        <w:rPr>
          <w:b/>
          <w:bCs/>
          <w:sz w:val="20"/>
          <w:szCs w:val="20"/>
        </w:rPr>
        <w:t xml:space="preserve">NOTICE TO RECIPIENTS</w:t>
      </w:r>
    </w:p>
    <w:p>
      <w:pPr>
        <w:spacing w:after="200"/>
      </w:pPr>
      <w:r>
        <w:rPr>
          <w:color w:val="555555"/>
          <w:sz w:val="18"/>
          <w:szCs w:val="18"/>
        </w:rPr>
        <w:t xml:space="preserve">This Memorandum is furnished solely to parties who have executed a confidentiality agreement, for the sole purpose of evaluating a possible acquisition. It does not constitute an offer to sell securities. Information herein was provided by the owner and has not been audited or independently verified by the intermediary; no representation or warranty is made as to its accuracy or completeness. Any projections or forward-looking statements reflect assumptions that may not occur; actual results will differ. Recipients must rely exclusively on their own due diligence. Do not copy, distribute, or contact the business, its employees, customers or suppliers. The owner reserves the right to modify the process, reject any offer, or withdraw the business from sale at any time.</w:t>
      </w:r>
    </w:p>
    <w:p>
      <w:pPr>
        <w:spacing w:after="80" w:before="160"/>
      </w:pPr>
      <w:r>
        <w:rPr>
          <w:b/>
          <w:bCs/>
          <w:sz w:val="22"/>
          <w:szCs w:val="22"/>
        </w:rPr>
        <w:t xml:space="preserve">1. EXECUTIVE SUMMARY</w:t>
      </w:r>
    </w:p>
    <w:p>
      <w:pPr>
        <w:spacing w:after="120"/>
      </w:pPr>
      <w:r>
        <w:t xml:space="preserve">One page maximum. State what the business does, for whom, since when; headline financials (revenue, SDE, margin, 3-year trend); the asking price and structure; and the single most compelling reason to buy. Write it last.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Business (code name)</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[Project 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Asking price</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Revenue (TTM)</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SDE (TTM)</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Proposed structure</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[Asset sale]</w:t>
            </w:r>
          </w:p>
        </w:tc>
      </w:tr>
    </w:tbl>
    <w:p>
      <w:pPr>
        <w:spacing w:after="80" w:before="160"/>
      </w:pPr>
      <w:r>
        <w:rPr>
          <w:b/>
          <w:bCs/>
          <w:sz w:val="22"/>
          <w:szCs w:val="22"/>
        </w:rPr>
        <w:t xml:space="preserve">2. COMPANY OVERVIEW</w:t>
      </w:r>
    </w:p>
    <w:p>
      <w:pPr>
        <w:spacing w:after="120"/>
      </w:pPr>
      <w:r>
        <w:t xml:space="preserve">History and ownership; legal structure; locations and facilities (owned/leased, lease terms); hours/seasonality; licenses held. Tell the story in one page — when founded, how it grew, why it wins.</w:t>
      </w:r>
    </w:p>
    <w:p>
      <w:pPr>
        <w:spacing w:after="80" w:before="160"/>
      </w:pPr>
      <w:r>
        <w:rPr>
          <w:b/>
          <w:bCs/>
          <w:sz w:val="22"/>
          <w:szCs w:val="22"/>
        </w:rPr>
        <w:t xml:space="preserve">3. PRODUCTS &amp; SERVICES</w:t>
      </w:r>
    </w:p>
    <w:p>
      <w:pPr>
        <w:spacing w:after="120"/>
      </w:pPr>
      <w:r>
        <w:t xml:space="preserve">Revenue lines with % of total; pricing model; what is recurring vs. project-based; warranties/guarantees; certifications.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2500"/>
        <w:gridCol w:w="2660"/>
      </w:tblGrid>
      <w:tr>
        <w:tc>
          <w:tcPr>
            <w:tcW w:type="dxa" w:w="4200"/>
            <w:tcBorders>
              <w:top w:val="single" w:color="BBBBBB" w:sz="1"/>
              <w:left w:val="single" w:color="BBBBBB" w:sz="1"/>
              <w:bottom w:val="single" w:color="BBBBBB" w:sz="1"/>
              <w:right w:val="single" w:color="BBBBBB" w:sz="1"/>
            </w:tcBorders>
            <w:shd w:fill="EEF4D8" w:val="clear"/>
            <w:tcMar>
              <w:top w:type="dxa" w:w="80"/>
              <w:left w:type="dxa" w:w="120"/>
              <w:bottom w:type="dxa" w:w="80"/>
              <w:right w:type="dxa" w:w="120"/>
            </w:tcMar>
          </w:tcPr>
          <w:p>
            <w:r>
              <w:rPr>
                <w:b/>
                <w:bCs/>
                <w:sz w:val="20"/>
                <w:szCs w:val="20"/>
              </w:rPr>
              <w:t xml:space="preserve">Revenue line</w:t>
            </w:r>
          </w:p>
        </w:tc>
        <w:tc>
          <w:tcPr>
            <w:tcW w:type="dxa" w:w="2500"/>
            <w:tcBorders>
              <w:top w:val="single" w:color="BBBBBB" w:sz="1"/>
              <w:left w:val="single" w:color="BBBBBB" w:sz="1"/>
              <w:bottom w:val="single" w:color="BBBBBB" w:sz="1"/>
              <w:right w:val="single" w:color="BBBBBB" w:sz="1"/>
            </w:tcBorders>
            <w:shd w:fill="EEF4D8" w:val="clear"/>
            <w:tcMar>
              <w:top w:type="dxa" w:w="80"/>
              <w:left w:type="dxa" w:w="120"/>
              <w:bottom w:type="dxa" w:w="80"/>
              <w:right w:type="dxa" w:w="120"/>
            </w:tcMar>
          </w:tcPr>
          <w:p>
            <w:r>
              <w:rPr>
                <w:b/>
                <w:bCs/>
                <w:sz w:val="20"/>
                <w:szCs w:val="20"/>
              </w:rPr>
              <w:t xml:space="preserve">% of revenue</w:t>
            </w:r>
          </w:p>
        </w:tc>
        <w:tc>
          <w:tcPr>
            <w:tcW w:type="dxa" w:w="2660"/>
            <w:tcBorders>
              <w:top w:val="single" w:color="BBBBBB" w:sz="1"/>
              <w:left w:val="single" w:color="BBBBBB" w:sz="1"/>
              <w:bottom w:val="single" w:color="BBBBBB" w:sz="1"/>
              <w:right w:val="single" w:color="BBBBBB" w:sz="1"/>
            </w:tcBorders>
            <w:shd w:fill="EEF4D8" w:val="clear"/>
            <w:tcMar>
              <w:top w:type="dxa" w:w="80"/>
              <w:left w:type="dxa" w:w="120"/>
              <w:bottom w:type="dxa" w:w="80"/>
              <w:right w:type="dxa" w:w="120"/>
            </w:tcMar>
          </w:tcPr>
          <w:p>
            <w:r>
              <w:rPr>
                <w:b/>
                <w:bCs/>
                <w:sz w:val="20"/>
                <w:szCs w:val="20"/>
              </w:rPr>
              <w:t xml:space="preserve">Recurring?</w:t>
            </w:r>
          </w:p>
        </w:tc>
      </w:tr>
      <w:tr>
        <w:tc>
          <w:tcPr>
            <w:tcW w:type="dxa" w:w="4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[Line 1]</w:t>
            </w:r>
          </w:p>
        </w:tc>
        <w:tc>
          <w:tcPr>
            <w:tcW w:type="dxa" w:w="25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[55%]</w:t>
            </w:r>
          </w:p>
        </w:tc>
        <w:tc>
          <w:tcPr>
            <w:tcW w:type="dxa" w:w="26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[Yes — contracts]</w:t>
            </w:r>
          </w:p>
        </w:tc>
      </w:tr>
      <w:tr>
        <w:tc>
          <w:tcPr>
            <w:tcW w:type="dxa" w:w="4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[Line 2]</w:t>
            </w:r>
          </w:p>
        </w:tc>
        <w:tc>
          <w:tcPr>
            <w:tcW w:type="dxa" w:w="25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[30%]</w:t>
            </w:r>
          </w:p>
        </w:tc>
        <w:tc>
          <w:tcPr>
            <w:tcW w:type="dxa" w:w="26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[No]</w:t>
            </w:r>
          </w:p>
        </w:tc>
      </w:tr>
      <w:tr>
        <w:tc>
          <w:tcPr>
            <w:tcW w:type="dxa" w:w="4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[Line 3]</w:t>
            </w:r>
          </w:p>
        </w:tc>
        <w:tc>
          <w:tcPr>
            <w:tcW w:type="dxa" w:w="25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[15%]</w:t>
            </w:r>
          </w:p>
        </w:tc>
        <w:tc>
          <w:tcPr>
            <w:tcW w:type="dxa" w:w="26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[Partially]</w:t>
            </w:r>
          </w:p>
        </w:tc>
      </w:tr>
    </w:tbl>
    <w:p>
      <w:pPr>
        <w:spacing w:after="80" w:before="160"/>
      </w:pPr>
      <w:r>
        <w:rPr>
          <w:b/>
          <w:bCs/>
          <w:sz w:val="22"/>
          <w:szCs w:val="22"/>
        </w:rPr>
        <w:t xml:space="preserve">4. MARKET &amp; CUSTOMERS</w:t>
      </w:r>
    </w:p>
    <w:p>
      <w:pPr>
        <w:spacing w:after="120"/>
      </w:pPr>
      <w:r>
        <w:t xml:space="preserve">Market served and its size (cite sources); competitive position; customer concentration (top 5 as % of revenue); marketing engine and where leads come from; backlog or pipeline if relevant.</w:t>
      </w:r>
    </w:p>
    <w:p>
      <w:pPr>
        <w:spacing w:after="80" w:before="160"/>
      </w:pPr>
      <w:r>
        <w:rPr>
          <w:b/>
          <w:bCs/>
          <w:sz w:val="22"/>
          <w:szCs w:val="22"/>
        </w:rPr>
        <w:t xml:space="preserve">5. FINANCIAL SUMMARY &amp; RECAST</w:t>
      </w:r>
    </w:p>
    <w:p>
      <w:pPr>
        <w:spacing w:after="120"/>
      </w:pPr>
      <w:r>
        <w:t xml:space="preserve">Three-year P&amp;L summary plus trailing twelve months, with the SDE recast (attach the Add-Back Worksheet as an appendix). State the basis (tax returns / reviewed / internal) and that statements are owner-provided.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60"/>
        <w:gridCol w:w="2100"/>
        <w:gridCol w:w="2100"/>
        <w:gridCol w:w="2100"/>
      </w:tblGrid>
      <w:tr>
        <w:tc>
          <w:tcPr>
            <w:tcW w:type="dxa" w:w="3060"/>
            <w:tcBorders>
              <w:top w:val="single" w:color="BBBBBB" w:sz="1"/>
              <w:left w:val="single" w:color="BBBBBB" w:sz="1"/>
              <w:bottom w:val="single" w:color="BBBBBB" w:sz="1"/>
              <w:right w:val="single" w:color="BBBBBB" w:sz="1"/>
            </w:tcBorders>
            <w:shd w:fill="EEF4D8" w:val="clear"/>
            <w:tcMar>
              <w:top w:type="dxa" w:w="80"/>
              <w:left w:type="dxa" w:w="120"/>
              <w:bottom w:type="dxa" w:w="80"/>
              <w:right w:type="dxa" w:w="120"/>
            </w:tcMar>
          </w:tcPr>
          <w:p>
            <w:r>
              <w:rPr>
                <w:b/>
                <w:bCs/>
                <w:sz w:val="20"/>
                <w:szCs w:val="20"/>
              </w:rPr>
              <w:t xml:space="preserve"/>
            </w:r>
          </w:p>
        </w:tc>
        <w:tc>
          <w:tcPr>
            <w:tcW w:type="dxa" w:w="2100"/>
            <w:tcBorders>
              <w:top w:val="single" w:color="BBBBBB" w:sz="1"/>
              <w:left w:val="single" w:color="BBBBBB" w:sz="1"/>
              <w:bottom w:val="single" w:color="BBBBBB" w:sz="1"/>
              <w:right w:val="single" w:color="BBBBBB" w:sz="1"/>
            </w:tcBorders>
            <w:shd w:fill="EEF4D8" w:val="clear"/>
            <w:tcMar>
              <w:top w:type="dxa" w:w="80"/>
              <w:left w:type="dxa" w:w="120"/>
              <w:bottom w:type="dxa" w:w="80"/>
              <w:right w:type="dxa" w:w="120"/>
            </w:tcMar>
          </w:tcPr>
          <w:p>
            <w:r>
              <w:rPr>
                <w:b/>
                <w:bCs/>
                <w:sz w:val="20"/>
                <w:szCs w:val="20"/>
              </w:rPr>
              <w:t xml:space="preserve">FY [2023]</w:t>
            </w:r>
          </w:p>
        </w:tc>
        <w:tc>
          <w:tcPr>
            <w:tcW w:type="dxa" w:w="2100"/>
            <w:tcBorders>
              <w:top w:val="single" w:color="BBBBBB" w:sz="1"/>
              <w:left w:val="single" w:color="BBBBBB" w:sz="1"/>
              <w:bottom w:val="single" w:color="BBBBBB" w:sz="1"/>
              <w:right w:val="single" w:color="BBBBBB" w:sz="1"/>
            </w:tcBorders>
            <w:shd w:fill="EEF4D8" w:val="clear"/>
            <w:tcMar>
              <w:top w:type="dxa" w:w="80"/>
              <w:left w:type="dxa" w:w="120"/>
              <w:bottom w:type="dxa" w:w="80"/>
              <w:right w:type="dxa" w:w="120"/>
            </w:tcMar>
          </w:tcPr>
          <w:p>
            <w:r>
              <w:rPr>
                <w:b/>
                <w:bCs/>
                <w:sz w:val="20"/>
                <w:szCs w:val="20"/>
              </w:rPr>
              <w:t xml:space="preserve">FY [2024]</w:t>
            </w:r>
          </w:p>
        </w:tc>
        <w:tc>
          <w:tcPr>
            <w:tcW w:type="dxa" w:w="2100"/>
            <w:tcBorders>
              <w:top w:val="single" w:color="BBBBBB" w:sz="1"/>
              <w:left w:val="single" w:color="BBBBBB" w:sz="1"/>
              <w:bottom w:val="single" w:color="BBBBBB" w:sz="1"/>
              <w:right w:val="single" w:color="BBBBBB" w:sz="1"/>
            </w:tcBorders>
            <w:shd w:fill="EEF4D8" w:val="clear"/>
            <w:tcMar>
              <w:top w:type="dxa" w:w="80"/>
              <w:left w:type="dxa" w:w="120"/>
              <w:bottom w:type="dxa" w:w="80"/>
              <w:right w:type="dxa" w:w="120"/>
            </w:tcMar>
          </w:tcPr>
          <w:p>
            <w:r>
              <w:rPr>
                <w:b/>
                <w:bCs/>
                <w:sz w:val="20"/>
                <w:szCs w:val="20"/>
              </w:rPr>
              <w:t xml:space="preserve">FY [2025]</w:t>
            </w:r>
          </w:p>
        </w:tc>
      </w:tr>
      <w:tr>
        <w:tc>
          <w:tcPr>
            <w:tcW w:type="dxa" w:w="30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Revenue</w:t>
            </w:r>
          </w:p>
        </w:tc>
        <w:tc>
          <w:tcPr>
            <w:tcW w:type="dxa" w:w="21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c>
          <w:tcPr>
            <w:tcW w:type="dxa" w:w="21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c>
          <w:tcPr>
            <w:tcW w:type="dxa" w:w="21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r>
        <w:tc>
          <w:tcPr>
            <w:tcW w:type="dxa" w:w="30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Gross profit</w:t>
            </w:r>
          </w:p>
        </w:tc>
        <w:tc>
          <w:tcPr>
            <w:tcW w:type="dxa" w:w="21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c>
          <w:tcPr>
            <w:tcW w:type="dxa" w:w="21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c>
          <w:tcPr>
            <w:tcW w:type="dxa" w:w="21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r>
        <w:tc>
          <w:tcPr>
            <w:tcW w:type="dxa" w:w="30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Net income (reported)</w:t>
            </w:r>
          </w:p>
        </w:tc>
        <w:tc>
          <w:tcPr>
            <w:tcW w:type="dxa" w:w="21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c>
          <w:tcPr>
            <w:tcW w:type="dxa" w:w="21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c>
          <w:tcPr>
            <w:tcW w:type="dxa" w:w="21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r>
        <w:tc>
          <w:tcPr>
            <w:tcW w:type="dxa" w:w="30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SDE (recast)</w:t>
            </w:r>
          </w:p>
        </w:tc>
        <w:tc>
          <w:tcPr>
            <w:tcW w:type="dxa" w:w="21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c>
          <w:tcPr>
            <w:tcW w:type="dxa" w:w="21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c>
          <w:tcPr>
            <w:tcW w:type="dxa" w:w="21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bl>
    <w:p>
      <w:pPr>
        <w:spacing w:after="80" w:before="160"/>
      </w:pPr>
      <w:r>
        <w:rPr>
          <w:b/>
          <w:bCs/>
          <w:sz w:val="22"/>
          <w:szCs w:val="22"/>
        </w:rPr>
        <w:t xml:space="preserve">6. OPERATIONS, STAFF &amp; SYSTEMS</w:t>
      </w:r>
    </w:p>
    <w:p>
      <w:pPr>
        <w:spacing w:after="120"/>
      </w:pPr>
      <w:r>
        <w:t xml:space="preserve">Org chart; key roles and tenure (no names at this stage); owner's actual role and weekly hours; what is documented/systemized; software stack; equipment list summary (detail in appendix).</w:t>
      </w:r>
    </w:p>
    <w:p>
      <w:pPr>
        <w:spacing w:after="80" w:before="160"/>
      </w:pPr>
      <w:r>
        <w:rPr>
          <w:b/>
          <w:bCs/>
          <w:sz w:val="22"/>
          <w:szCs w:val="22"/>
        </w:rPr>
        <w:t xml:space="preserve">7. GROWTH OPPORTUNITIES</w:t>
      </w:r>
    </w:p>
    <w:p>
      <w:pPr>
        <w:spacing w:after="120"/>
      </w:pPr>
      <w:r>
        <w:t xml:space="preserve">Three to five concrete, credible levers a new owner could pull (untapped channels, geographic expansion, pricing, add-on services). Present opportunities — do not promise outcomes.</w:t>
      </w:r>
    </w:p>
    <w:p>
      <w:pPr>
        <w:spacing w:after="80" w:before="160"/>
      </w:pPr>
      <w:r>
        <w:rPr>
          <w:b/>
          <w:bCs/>
          <w:sz w:val="22"/>
          <w:szCs w:val="22"/>
        </w:rPr>
        <w:t xml:space="preserve">8. TRANSACTION, PROCESS &amp; TERMS</w:t>
      </w:r>
    </w:p>
    <w:p>
      <w:pPr>
        <w:spacing w:after="120"/>
      </w:pPr>
      <w:r>
        <w:t xml:space="preserve">Asking price and what it includes (FF&amp;E, inventory at cost, goodwill); excluded assets; proposed structure (asset vs. equity); seller financing available; training/transition offered; reason for sale.</w:t>
      </w:r>
    </w:p>
    <w:p>
      <w:pPr>
        <w:spacing w:after="120"/>
      </w:pPr>
      <w:r>
        <w:t xml:space="preserve">Process: how to proceed — written indication of interest or LOI to Broker by [date, if running a timed process]; site visits by appointment through Broker only; target closing [timeframe]. The owner may accept, reject or negotiate any offer.</w:t>
      </w:r>
    </w:p>
    <w:p>
      <w:pPr>
        <w:spacing w:after="80" w:before="160"/>
      </w:pPr>
      <w:r>
        <w:rPr>
          <w:b/>
          <w:bCs/>
          <w:sz w:val="22"/>
          <w:szCs w:val="22"/>
        </w:rPr>
        <w:t xml:space="preserve">9. APPENDICES</w:t>
      </w:r>
    </w:p>
    <w:p>
      <w:pPr>
        <w:pStyle w:val="ListParagraph"/>
        <w:numPr>
          <w:ilvl w:val="0"/>
          <w:numId w:val="2"/>
        </w:numPr>
        <w:spacing w:after="60"/>
      </w:pPr>
      <w:r>
        <w:rPr>
          <w:sz w:val="20"/>
          <w:szCs w:val="20"/>
        </w:rPr>
        <w:t xml:space="preserve">A — Financial recast / add-back worksheet</w:t>
      </w:r>
    </w:p>
    <w:p>
      <w:pPr>
        <w:pStyle w:val="ListParagraph"/>
        <w:numPr>
          <w:ilvl w:val="0"/>
          <w:numId w:val="2"/>
        </w:numPr>
        <w:spacing w:after="60"/>
      </w:pPr>
      <w:r>
        <w:rPr>
          <w:sz w:val="20"/>
          <w:szCs w:val="20"/>
        </w:rPr>
        <w:t xml:space="preserve">B — Equipment &amp; asset list</w:t>
      </w:r>
    </w:p>
    <w:p>
      <w:pPr>
        <w:pStyle w:val="ListParagraph"/>
        <w:numPr>
          <w:ilvl w:val="0"/>
          <w:numId w:val="2"/>
        </w:numPr>
        <w:spacing w:after="60"/>
      </w:pPr>
      <w:r>
        <w:rPr>
          <w:sz w:val="20"/>
          <w:szCs w:val="20"/>
        </w:rPr>
        <w:t xml:space="preserve">C — Lease summary / real-estate details</w:t>
      </w:r>
    </w:p>
    <w:p>
      <w:pPr>
        <w:pStyle w:val="ListParagraph"/>
        <w:numPr>
          <w:ilvl w:val="0"/>
          <w:numId w:val="2"/>
        </w:numPr>
        <w:spacing w:after="60"/>
      </w:pPr>
      <w:r>
        <w:rPr>
          <w:sz w:val="20"/>
          <w:szCs w:val="20"/>
        </w:rPr>
        <w:t xml:space="preserve">D — Organization chart</w:t>
      </w:r>
    </w:p>
    <w:p>
      <w:pPr>
        <w:pStyle w:val="ListParagraph"/>
        <w:numPr>
          <w:ilvl w:val="0"/>
          <w:numId w:val="2"/>
        </w:numPr>
        <w:spacing w:after="60"/>
      </w:pPr>
      <w:r>
        <w:rPr>
          <w:sz w:val="20"/>
          <w:szCs w:val="20"/>
        </w:rPr>
        <w:t xml:space="preserve">E — Licenses &amp; permits</w:t>
      </w:r>
    </w:p>
    <w:sectPr>
      <w:headerReference w:type="default" r:id="rId7"/>
      <w:footerReference w:type="default" r:id="rId8"/>
      <w:pgSz w:w="12240" w:h="15840" w:orient="portrait"/>
      <w:pgMar w:top="1240" w:right="1440" w:bottom="12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pPr>
    <w:r>
      <w:rPr>
        <w:i/>
        <w:iCs/>
        <w:color w:val="999999"/>
        <w:sz w:val="14"/>
        <w:szCs w:val="14"/>
      </w:rPr>
      <w:t xml:space="preserve">Educational template (v2) — not legal, tax or financial advice. Laws vary by state; have a qualified attorney review before use in a live transaction.</w:t>
    </w:r>
  </w:p>
  <w:p>
    <w:r>
      <w:rPr>
        <w:color w:val="999999"/>
        <w:sz w:val="14"/>
        <w:szCs w:val="14"/>
      </w:rPr>
      <w:t xml:space="preserve">Page </w:t>
    </w:r>
    <w:r>
      <w:rPr>
        <w:color w:val="999999"/>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b/>
        <w:bCs/>
        <w:color w:val="6B8E00"/>
        <w:sz w:val="16"/>
        <w:szCs w:val="16"/>
      </w:rPr>
      <w:t xml:space="preserve">SOLO BROKER OS</w:t>
    </w:r>
    <w:r>
      <w:rPr>
        <w:color w:val="999999"/>
        <w:sz w:val="16"/>
        <w:szCs w:val="16"/>
      </w:rPr>
      <w:t xml:space="preserve">	becomebusinessbroker.com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20" w:hanging="320"/>
      </w:pPr>
    </w:lvl>
  </w:abstractNum>
  <w:abstractNum w:abstractNumId="3" w15:restartNumberingAfterBreak="0">
    <w:multiLevelType w:val="hybridMultilevel"/>
    <w:lvl w:ilvl="0" w15:tentative="1">
      <w:start w:val="1"/>
      <w:numFmt w:val="bullet"/>
      <w:lvlText w:val="☐"/>
      <w:lvlJc w:val="left"/>
      <w:pPr>
        <w:ind w:left="620" w:hanging="320"/>
      </w:pPr>
    </w:lvl>
  </w:abstractNum>
  <w:abstractNum w:abstractNumId="4" w15:restartNumberingAfterBreak="0">
    <w:multiLevelType w:val="hybridMultilevel"/>
    <w:lvl w:ilvl="0" w15:tentative="1">
      <w:start w:val="1"/>
      <w:numFmt w:val="decimal"/>
      <w:lvlText w:val="%1."/>
      <w:lvlJc w:val="left"/>
      <w:pPr>
        <w:ind w:left="620" w:hanging="3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2026-07-02T11:48:53.316Z</dcterms:created>
  <dcterms:modified xsi:type="dcterms:W3CDTF">2026-07-02T11:48:53.316Z</dcterms:modified>
</cp:coreProperties>
</file>

<file path=docProps/custom.xml><?xml version="1.0" encoding="utf-8"?>
<Properties xmlns="http://schemas.openxmlformats.org/officeDocument/2006/custom-properties" xmlns:vt="http://schemas.openxmlformats.org/officeDocument/2006/docPropsVTypes"/>
</file>