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sz w:val="34"/>
          <w:szCs w:val="34"/>
        </w:rPr>
        <w:t xml:space="preserve">DOCUMENT REQUEST &amp; DATA-ROOM INDEX</w:t>
      </w:r>
    </w:p>
    <w:p>
      <w:pPr>
        <w:pBdr>
          <w:bottom w:val="single" w:color="9BC400" w:sz="8" w:space="2"/>
        </w:pBdr>
        <w:spacing w:after="80"/>
      </w:pPr>
      <w:r>
        <w:rPr>
          <w:i/>
          <w:iCs/>
          <w:color w:val="555555"/>
          <w:sz w:val="21"/>
          <w:szCs w:val="21"/>
        </w:rPr>
        <w:t xml:space="preserve">The master list of everything the buyer needs, organized for a virtual data room.</w:t>
      </w:r>
    </w:p>
    <w:p>
      <w:pPr>
        <w:spacing w:after="200"/>
      </w:pPr>
      <w:r>
        <w:rPr>
          <w:i/>
          <w:iCs/>
          <w:color w:val="777777"/>
          <w:sz w:val="18"/>
          <w:szCs w:val="18"/>
        </w:rPr>
        <w:t xml:space="preserve">How to use: replace every [BRACKETED] field and blank line with your deal's details; delete italic guidance notes and any optional clause you do not use before sending.</w:t>
      </w:r>
    </w:p>
    <w:p>
      <w:pPr>
        <w:spacing w:after="120"/>
      </w:pPr>
      <w:r>
        <w:rPr>
          <w:i/>
          <w:iCs/>
          <w:color w:val="777777"/>
          <w:sz w:val="18"/>
          <w:szCs w:val="18"/>
        </w:rPr>
        <w:t xml:space="preserve">Note: Create these folders exactly as numbered. File naming: NN.M_document-name_YYYY-MM (e.g., 02.1_tax-return_2024). Upload copies only — originals never leave the seller.</w:t>
      </w:r>
    </w:p>
    <w:p>
      <w:pPr>
        <w:spacing w:after="60"/>
      </w:pPr>
      <w:r>
        <w:t xml:space="preserve"/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5160"/>
        <w:gridCol w:w="2900"/>
      </w:tblGrid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Folder</w:t>
            </w:r>
          </w:p>
        </w:tc>
        <w:tc>
          <w:tcPr>
            <w:tcW w:type="dxa" w:w="5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Contents</w:t>
            </w:r>
          </w:p>
        </w:tc>
        <w:tc>
          <w:tcPr>
            <w:tcW w:type="dxa" w:w="2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Status / date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00</w:t>
            </w:r>
          </w:p>
        </w:tc>
        <w:tc>
          <w:tcPr>
            <w:tcW w:type="dxa" w:w="5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Index (this file), NDA log, access log</w:t>
            </w:r>
          </w:p>
        </w:tc>
        <w:tc>
          <w:tcPr>
            <w:tcW w:type="dxa" w:w="2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type="dxa" w:w="5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Corporate — formation docs, good standing, ownership, minutes</w:t>
            </w:r>
          </w:p>
        </w:tc>
        <w:tc>
          <w:tcPr>
            <w:tcW w:type="dxa" w:w="2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type="dxa" w:w="5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Financials — 3yr tax returns, 3yr+TTM P&amp;L, balance sheets, bank statements</w:t>
            </w:r>
          </w:p>
        </w:tc>
        <w:tc>
          <w:tcPr>
            <w:tcW w:type="dxa" w:w="2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type="dxa" w:w="5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Recast — add-back worksheet with evidence per item</w:t>
            </w:r>
          </w:p>
        </w:tc>
        <w:tc>
          <w:tcPr>
            <w:tcW w:type="dxa" w:w="2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type="dxa" w:w="5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Contracts — premises lease, customer contracts, supplier agreements, equipment leases</w:t>
            </w:r>
          </w:p>
        </w:tc>
        <w:tc>
          <w:tcPr>
            <w:tcW w:type="dxa" w:w="2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type="dxa" w:w="5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Operations — equipment list, inventory report, process docs, software list</w:t>
            </w:r>
          </w:p>
        </w:tc>
        <w:tc>
          <w:tcPr>
            <w:tcW w:type="dxa" w:w="2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06</w:t>
            </w:r>
          </w:p>
        </w:tc>
        <w:tc>
          <w:tcPr>
            <w:tcW w:type="dxa" w:w="5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HR — employee census, agreements, benefits, handbook</w:t>
            </w:r>
          </w:p>
        </w:tc>
        <w:tc>
          <w:tcPr>
            <w:tcW w:type="dxa" w:w="2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07</w:t>
            </w:r>
          </w:p>
        </w:tc>
        <w:tc>
          <w:tcPr>
            <w:tcW w:type="dxa" w:w="5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Tax &amp; compliance — sales/payroll tax filings, licenses &amp; permits, insurance, claims history</w:t>
            </w:r>
          </w:p>
        </w:tc>
        <w:tc>
          <w:tcPr>
            <w:tcW w:type="dxa" w:w="2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08</w:t>
            </w:r>
          </w:p>
        </w:tc>
        <w:tc>
          <w:tcPr>
            <w:tcW w:type="dxa" w:w="5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Legal — litigation summary, liens/UCC search results</w:t>
            </w:r>
          </w:p>
        </w:tc>
        <w:tc>
          <w:tcPr>
            <w:tcW w:type="dxa" w:w="2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09</w:t>
            </w:r>
          </w:p>
        </w:tc>
        <w:tc>
          <w:tcPr>
            <w:tcW w:type="dxa" w:w="5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Marketing — customer concentration report, reviews, analytics</w:t>
            </w:r>
          </w:p>
        </w:tc>
        <w:tc>
          <w:tcPr>
            <w:tcW w:type="dxa" w:w="2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10</w:t>
            </w:r>
          </w:p>
        </w:tc>
        <w:tc>
          <w:tcPr>
            <w:tcW w:type="dxa" w:w="5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Transaction — LOI, drafts, disclosure schedules, closing checklist</w:t>
            </w:r>
          </w:p>
        </w:tc>
        <w:tc>
          <w:tcPr>
            <w:tcW w:type="dxa" w:w="2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1. ACCESS RULES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Buyer-side access granted only after signed NDA + proof of funds + accepted LOI (folders 01–03 may be staged earlier at broker's discretion).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Watermark sensitive documents; disable downloads for folders 04–06 until late diligence.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Log every access grant in folder 00 with name, date and folder scope; revoke access when a buyer exits.</w:t>
      </w:r>
    </w:p>
    <w:sectPr>
      <w:headerReference w:type="default" r:id="rId7"/>
      <w:footerReference w:type="default" r:id="rId8"/>
      <w:pgSz w:w="12240" w:h="15840" w:orient="portrait"/>
      <w:pgMar w:top="1240" w:right="1440" w:bottom="12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i/>
        <w:iCs/>
        <w:color w:val="999999"/>
        <w:sz w:val="14"/>
        <w:szCs w:val="14"/>
      </w:rPr>
      <w:t xml:space="preserve">Educational template (v2) — not legal, tax or financial advice. Laws vary by state; have a qualified attorney review before use in a live transaction.</w:t>
    </w:r>
  </w:p>
  <w:p>
    <w:r>
      <w:rPr>
        <w:color w:val="999999"/>
        <w:sz w:val="14"/>
        <w:szCs w:val="14"/>
      </w:rPr>
      <w:t xml:space="preserve">Page </w:t>
    </w:r>
    <w:r>
      <w:rPr>
        <w:color w:val="999999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026"/>
      </w:tabs>
    </w:pPr>
    <w:r>
      <w:rPr>
        <w:b/>
        <w:bCs/>
        <w:color w:val="6B8E00"/>
        <w:sz w:val="16"/>
        <w:szCs w:val="16"/>
      </w:rPr>
      <w:t xml:space="preserve">SOLO BROKER OS</w:t>
    </w:r>
    <w:r>
      <w:rPr>
        <w:color w:val="999999"/>
        <w:sz w:val="16"/>
        <w:szCs w:val="16"/>
      </w:rPr>
      <w:t xml:space="preserve">	becomebusinessbroker.com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20" w:hanging="3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620" w:hanging="32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2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2026-07-02T11:48:53.743Z</dcterms:created>
  <dcterms:modified xsi:type="dcterms:W3CDTF">2026-07-02T11:48:53.743Z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