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sz w:val="34"/>
          <w:szCs w:val="34"/>
        </w:rPr>
        <w:t xml:space="preserve">LETTER OF INTENT TO PURCHASE</w:t>
      </w:r>
    </w:p>
    <w:p>
      <w:pPr>
        <w:pBdr>
          <w:bottom w:val="single" w:color="9BC400" w:sz="8" w:space="2"/>
        </w:pBdr>
        <w:spacing w:after="80"/>
      </w:pPr>
      <w:r>
        <w:rPr>
          <w:i/>
          <w:iCs/>
          <w:color w:val="555555"/>
          <w:sz w:val="21"/>
          <w:szCs w:val="21"/>
        </w:rPr>
        <w:t xml:space="preserve">The deal's key milestone — sets price, structure and the path to close.</w:t>
      </w:r>
    </w:p>
    <w:p>
      <w:pPr>
        <w:spacing w:after="200"/>
      </w:pPr>
      <w:r>
        <w:rPr>
          <w:i/>
          <w:iCs/>
          <w:color w:val="777777"/>
          <w:sz w:val="18"/>
          <w:szCs w:val="18"/>
        </w:rPr>
        <w:t xml:space="preserve">How to use: replace every [BRACKETED] field and blank line with your deal's details; delete italic guidance notes and any optional clause you do not use before sending.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Date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Buyer</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Seller</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Business</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This proposal expires if not accepted by</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bl>
    <w:p>
      <w:pPr>
        <w:spacing w:after="160"/>
      </w:pPr>
      <w:r>
        <w:rPr>
          <w:i/>
          <w:iCs/>
          <w:color w:val="666666"/>
          <w:sz w:val="19"/>
          <w:szCs w:val="19"/>
        </w:rPr>
        <w:t xml:space="preserve">This letter summarizes the principal terms on which Buyer proposes to acquire the Business. Except as stated in Section 10, it is non-binding.</w:t>
      </w:r>
    </w:p>
    <w:p>
      <w:pPr>
        <w:spacing w:after="80" w:before="160"/>
      </w:pPr>
      <w:r>
        <w:rPr>
          <w:b/>
          <w:bCs/>
          <w:sz w:val="22"/>
          <w:szCs w:val="22"/>
        </w:rPr>
        <w:t xml:space="preserve">1. PURCHASE PRICE &amp;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160"/>
        <w:gridCol w:w="3200"/>
      </w:tblGrid>
      <w:tr>
        <w:tc>
          <w:tcPr>
            <w:tcW w:type="dxa" w:w="6160"/>
            <w:tcBorders>
              <w:top w:val="single" w:color="BBBBBB" w:sz="1"/>
              <w:left w:val="single" w:color="BBBBBB" w:sz="1"/>
              <w:bottom w:val="single" w:color="BBBBBB" w:sz="1"/>
              <w:right w:val="single" w:color="BBBBBB" w:sz="1"/>
            </w:tcBorders>
            <w:shd w:fill="EEF4D8" w:val="clear"/>
            <w:tcMar>
              <w:top w:type="dxa" w:w="80"/>
              <w:left w:type="dxa" w:w="120"/>
              <w:bottom w:type="dxa" w:w="80"/>
              <w:right w:type="dxa" w:w="120"/>
            </w:tcMar>
          </w:tcPr>
          <w:p>
            <w:r>
              <w:rPr>
                <w:b/>
                <w:bCs/>
                <w:sz w:val="20"/>
                <w:szCs w:val="20"/>
              </w:rPr>
              <w:t xml:space="preserve">Component</w:t>
            </w:r>
          </w:p>
        </w:tc>
        <w:tc>
          <w:tcPr>
            <w:tcW w:type="dxa" w:w="3200"/>
            <w:tcBorders>
              <w:top w:val="single" w:color="BBBBBB" w:sz="1"/>
              <w:left w:val="single" w:color="BBBBBB" w:sz="1"/>
              <w:bottom w:val="single" w:color="BBBBBB" w:sz="1"/>
              <w:right w:val="single" w:color="BBBBBB" w:sz="1"/>
            </w:tcBorders>
            <w:shd w:fill="EEF4D8" w:val="clear"/>
            <w:tcMar>
              <w:top w:type="dxa" w:w="80"/>
              <w:left w:type="dxa" w:w="120"/>
              <w:bottom w:type="dxa" w:w="80"/>
              <w:right w:type="dxa" w:w="120"/>
            </w:tcMar>
          </w:tcPr>
          <w:p>
            <w:r>
              <w:rPr>
                <w:b/>
                <w:bCs/>
                <w:sz w:val="20"/>
                <w:szCs w:val="20"/>
              </w:rPr>
              <w:t xml:space="preserve">Amount</w:t>
            </w:r>
          </w:p>
        </w:tc>
      </w:tr>
      <w:tr>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Cash at closing</w:t>
            </w:r>
          </w:p>
        </w:tc>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Seller note ([5] yrs, [8]% interest, monthly amortization)</w:t>
            </w:r>
          </w:p>
        </w:tc>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Earn-out (terms in Section 2)</w:t>
            </w:r>
          </w:p>
        </w:tc>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TOTAL PURCHASE PRICE</w:t>
            </w:r>
          </w:p>
        </w:tc>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bl>
    <w:p>
      <w:pPr>
        <w:spacing w:after="120"/>
      </w:pPr>
      <w:r>
        <w:t xml:space="preserve">Structure: purchase of substantially all assets of the Business, free and clear of liens, excluding cash and accounts receivable unless stated. Inventory at cost (counted at closing) [included in / added to] the price. Excluded assets: [list].</w:t>
      </w:r>
    </w:p>
    <w:p>
      <w:pPr>
        <w:spacing w:after="80" w:before="160"/>
      </w:pPr>
      <w:r>
        <w:rPr>
          <w:b/>
          <w:bCs/>
          <w:sz w:val="22"/>
          <w:szCs w:val="22"/>
        </w:rPr>
        <w:t xml:space="preserve">2. EARN-OUT (IF ANY)</w:t>
      </w:r>
    </w:p>
    <w:p>
      <w:pPr>
        <w:spacing w:after="120"/>
      </w:pPr>
      <w:r>
        <w:t xml:space="preserve">[$______ payable if the Business achieves revenue of $______ in the 12 months post-closing, measured as ______, paid within ____ days of measurement; otherwise delete this section.]</w:t>
      </w:r>
    </w:p>
    <w:p>
      <w:pPr>
        <w:spacing w:after="80" w:before="160"/>
      </w:pPr>
      <w:r>
        <w:rPr>
          <w:b/>
          <w:bCs/>
          <w:sz w:val="22"/>
          <w:szCs w:val="22"/>
        </w:rPr>
        <w:t xml:space="preserve">3. DEPOSIT</w:t>
      </w:r>
    </w:p>
    <w:p>
      <w:pPr>
        <w:spacing w:after="120"/>
      </w:pPr>
      <w:r>
        <w:t xml:space="preserve">Within [3] business days of mutual acceptance, Buyer will deposit $[25,000] with [named escrow agent / attorney trust account], applicable to the price at closing and refundable if the transaction fails to close for any reason other than Buyer's breach.</w:t>
      </w:r>
    </w:p>
    <w:p>
      <w:pPr>
        <w:spacing w:after="80" w:before="160"/>
      </w:pPr>
      <w:r>
        <w:rPr>
          <w:b/>
          <w:bCs/>
          <w:sz w:val="22"/>
          <w:szCs w:val="22"/>
        </w:rPr>
        <w:t xml:space="preserve">4. DUE DILIGENCE</w:t>
      </w:r>
    </w:p>
    <w:p>
      <w:pPr>
        <w:spacing w:after="120"/>
      </w:pPr>
      <w:r>
        <w:t xml:space="preserve">Buyer shall have [30] days from acceptance to complete due diligence. Seller will provide reasonable access to books, records and premises (after hours where needed for confidentiality). Buyer and its advisors will not contact employees, customers, suppliers or the landlord except as Seller agrees in writing.</w:t>
      </w:r>
    </w:p>
    <w:p>
      <w:pPr>
        <w:spacing w:after="80" w:before="160"/>
      </w:pPr>
      <w:r>
        <w:rPr>
          <w:b/>
          <w:bCs/>
          <w:sz w:val="22"/>
          <w:szCs w:val="22"/>
        </w:rPr>
        <w:t xml:space="preserve">5. FINANCING CONTINGENCY</w:t>
      </w:r>
    </w:p>
    <w:p>
      <w:pPr>
        <w:spacing w:after="120"/>
      </w:pPr>
      <w:r>
        <w:t xml:space="preserve">This proposal is contingent on Buyer obtaining acquisition financing of approximately $[______] on commercially reasonable terms ([SBA 7(a)]). Buyer will submit a complete application within [10] business days of acceptance and pursue approval diligently, providing status updates on request.</w:t>
      </w:r>
    </w:p>
    <w:p>
      <w:pPr>
        <w:spacing w:after="80" w:before="160"/>
      </w:pPr>
      <w:r>
        <w:rPr>
          <w:b/>
          <w:bCs/>
          <w:sz w:val="22"/>
          <w:szCs w:val="22"/>
        </w:rPr>
        <w:t xml:space="preserve">6. EXCLUSIVITY (BINDING)</w:t>
      </w:r>
    </w:p>
    <w:p>
      <w:pPr>
        <w:spacing w:after="120"/>
      </w:pPr>
      <w:r>
        <w:t xml:space="preserve">For [60] days from acceptance, Seller will not directly or indirectly solicit, negotiate or accept any other offer for the Business, and will take it off the market.</w:t>
      </w:r>
    </w:p>
    <w:p>
      <w:pPr>
        <w:spacing w:after="80" w:before="160"/>
      </w:pPr>
      <w:r>
        <w:rPr>
          <w:b/>
          <w:bCs/>
          <w:sz w:val="22"/>
          <w:szCs w:val="22"/>
        </w:rPr>
        <w:t xml:space="preserve">7. CONFIDENTIALITY (BINDING)</w:t>
      </w:r>
    </w:p>
    <w:p>
      <w:pPr>
        <w:spacing w:after="120"/>
      </w:pPr>
      <w:r>
        <w:t xml:space="preserve">The parties' existing confidentiality agreement remains in force and covers this letter and all negotiations.</w:t>
      </w:r>
    </w:p>
    <w:p>
      <w:pPr>
        <w:spacing w:after="80" w:before="160"/>
      </w:pPr>
      <w:r>
        <w:rPr>
          <w:b/>
          <w:bCs/>
          <w:sz w:val="22"/>
          <w:szCs w:val="22"/>
        </w:rPr>
        <w:t xml:space="preserve">8. CONDUCT OF BUSINESS</w:t>
      </w:r>
    </w:p>
    <w:p>
      <w:pPr>
        <w:spacing w:after="120"/>
      </w:pPr>
      <w:r>
        <w:t xml:space="preserve">Until closing or termination, Seller will operate the Business in the ordinary course, maintain inventory at normal levels, and make no material changes without Buyer's consent.</w:t>
      </w:r>
    </w:p>
    <w:p>
      <w:pPr>
        <w:spacing w:after="80" w:before="160"/>
      </w:pPr>
      <w:r>
        <w:rPr>
          <w:b/>
          <w:bCs/>
          <w:sz w:val="22"/>
          <w:szCs w:val="22"/>
        </w:rPr>
        <w:t xml:space="preserve">9. DEFINITIVE AGREEMENT; BROKERAGE</w:t>
      </w:r>
    </w:p>
    <w:p>
      <w:pPr>
        <w:spacing w:after="120"/>
      </w:pPr>
      <w:r>
        <w:t xml:space="preserve">The parties will negotiate a definitive Asset Purchase Agreement, first draft to be prepared by [Buyer's / Seller's] counsel within [15] days of acceptance. Each party acknowledges [Broker name] as the intermediary in this transaction; the brokerage fee is payable by [Seller per the listing agreement]. Each party represents it has dealt with no other broker.</w:t>
      </w:r>
    </w:p>
    <w:p>
      <w:pPr>
        <w:spacing w:after="80" w:before="160"/>
      </w:pPr>
      <w:r>
        <w:rPr>
          <w:b/>
          <w:bCs/>
          <w:sz w:val="22"/>
          <w:szCs w:val="22"/>
        </w:rPr>
        <w:t xml:space="preserve">10. NON-BINDING; EXPENSES; GOVERNING LAW</w:t>
      </w:r>
    </w:p>
    <w:p>
      <w:pPr>
        <w:spacing w:after="120"/>
      </w:pPr>
      <w:r>
        <w:t xml:space="preserve">Except Sections 6, 7 and this sentence, this letter is an expression of intent only; neither party is bound to close unless and until definitive agreements are executed. Each party bears its own costs. Governing law: [STATE]. Target closing date: [DATE].</w:t>
      </w:r>
    </w:p>
    <w:p>
      <w:pPr>
        <w:spacing w:after="60"/>
      </w:pPr>
      <w:r>
        <w:t xml:space="preserve"/>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80"/>
        <w:gridCol w:w="400"/>
        <w:gridCol w:w="4480"/>
      </w:tblGrid>
      <w:tr>
        <w:tc>
          <w:tcPr>
            <w:tcW w:type="dxa" w:w="4480"/>
            <w:tcBorders>
              <w:top w:val="none"/>
              <w:left w:val="none"/>
              <w:bottom w:val="none"/>
              <w:right w:val="none"/>
            </w:tcBorders>
          </w:tcPr>
          <w:p>
            <w:pPr>
              <w:spacing w:after="200"/>
            </w:pPr>
            <w:r>
              <w:rPr>
                <w:b/>
                <w:bCs/>
              </w:rPr>
              <w:t xml:space="preserve">BUYER</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c>
          <w:tcPr>
            <w:tcW w:type="dxa" w:w="400"/>
            <w:tcBorders>
              <w:top w:val="none"/>
              <w:left w:val="none"/>
              <w:bottom w:val="none"/>
              <w:right w:val="none"/>
            </w:tcBorders>
          </w:tcPr>
          <w:p>
            <w:pPr>
              <w:spacing w:after="120"/>
            </w:pPr>
            <w:r>
              <w:t xml:space="preserve"/>
            </w:r>
          </w:p>
        </w:tc>
        <w:tc>
          <w:tcPr>
            <w:tcW w:type="dxa" w:w="4480"/>
            <w:tcBorders>
              <w:top w:val="none"/>
              <w:left w:val="none"/>
              <w:bottom w:val="none"/>
              <w:right w:val="none"/>
            </w:tcBorders>
          </w:tcPr>
          <w:p>
            <w:pPr>
              <w:spacing w:after="200"/>
            </w:pPr>
            <w:r>
              <w:rPr>
                <w:b/>
                <w:bCs/>
              </w:rPr>
              <w:t xml:space="preserve">SELLER (ACCEPTED)</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r>
    </w:tbl>
    <w:sectPr>
      <w:headerReference w:type="default" r:id="rId7"/>
      <w:footerReference w:type="default" r:id="rId8"/>
      <w:pgSz w:w="12240" w:h="15840" w:orient="portrait"/>
      <w:pgMar w:top="1240" w:right="1440" w:bottom="12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pPr>
    <w:r>
      <w:rPr>
        <w:i/>
        <w:iCs/>
        <w:color w:val="999999"/>
        <w:sz w:val="14"/>
        <w:szCs w:val="14"/>
      </w:rPr>
      <w:t xml:space="preserve">Educational template (v2) — not legal, tax or financial advice. Laws vary by state; have a qualified attorney review before use in a live transaction.</w:t>
    </w:r>
  </w:p>
  <w:p>
    <w:r>
      <w:rPr>
        <w:color w:val="999999"/>
        <w:sz w:val="14"/>
        <w:szCs w:val="14"/>
      </w:rPr>
      <w:t xml:space="preserve">Page </w:t>
    </w:r>
    <w:r>
      <w:rPr>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b/>
        <w:bCs/>
        <w:color w:val="6B8E00"/>
        <w:sz w:val="16"/>
        <w:szCs w:val="16"/>
      </w:rPr>
      <w:t xml:space="preserve">SOLO BROKER OS</w:t>
    </w:r>
    <w:r>
      <w:rPr>
        <w:color w:val="999999"/>
        <w:sz w:val="16"/>
        <w:szCs w:val="16"/>
      </w:rPr>
      <w:t xml:space="preserve">	becomebusinessbroker.com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20"/>
      </w:pPr>
    </w:lvl>
  </w:abstractNum>
  <w:abstractNum w:abstractNumId="3" w15:restartNumberingAfterBreak="0">
    <w:multiLevelType w:val="hybridMultilevel"/>
    <w:lvl w:ilvl="0" w15:tentative="1">
      <w:start w:val="1"/>
      <w:numFmt w:val="bullet"/>
      <w:lvlText w:val="☐"/>
      <w:lvlJc w:val="left"/>
      <w:pPr>
        <w:ind w:left="620" w:hanging="320"/>
      </w:pPr>
    </w:lvl>
  </w:abstractNum>
  <w:abstractNum w:abstractNumId="4" w15:restartNumberingAfterBreak="0">
    <w:multiLevelType w:val="hybridMultilevel"/>
    <w:lvl w:ilvl="0" w15:tentative="1">
      <w:start w:val="1"/>
      <w:numFmt w:val="decimal"/>
      <w:lvlText w:val="%1."/>
      <w:lvlJc w:val="left"/>
      <w:pPr>
        <w:ind w:left="62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2026-07-02T11:48:53.608Z</dcterms:created>
  <dcterms:modified xsi:type="dcterms:W3CDTF">2026-07-02T11:48:53.608Z</dcterms:modified>
</cp:coreProperties>
</file>

<file path=docProps/custom.xml><?xml version="1.0" encoding="utf-8"?>
<Properties xmlns="http://schemas.openxmlformats.org/officeDocument/2006/custom-properties" xmlns:vt="http://schemas.openxmlformats.org/officeDocument/2006/docPropsVTypes"/>
</file>