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sz w:val="34"/>
          <w:szCs w:val="34"/>
        </w:rPr>
        <w:t xml:space="preserve">EXCLUSIVE LISTING &amp; ENGAGEMENT AGREEMENT</w:t>
      </w:r>
    </w:p>
    <w:p>
      <w:pPr>
        <w:pBdr>
          <w:bottom w:val="single" w:color="9BC400" w:sz="8" w:space="2"/>
        </w:pBdr>
        <w:spacing w:after="80"/>
      </w:pPr>
      <w:r>
        <w:rPr>
          <w:i/>
          <w:iCs/>
          <w:color w:val="555555"/>
          <w:sz w:val="21"/>
          <w:szCs w:val="21"/>
        </w:rPr>
        <w:t xml:space="preserve">Exclusive right-to-sell mandate — defines your economics and protects your fee.</w:t>
      </w:r>
    </w:p>
    <w:p>
      <w:pPr>
        <w:spacing w:after="200"/>
      </w:pPr>
      <w:r>
        <w:rPr>
          <w:i/>
          <w:iCs/>
          <w:color w:val="777777"/>
          <w:sz w:val="18"/>
          <w:szCs w:val="18"/>
        </w:rPr>
        <w:t xml:space="preserve">How to use: replace every [BRACKETED] field and blank line with your deal's details; delete italic guidance notes and any optional clause you do not use before sending.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Effective date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Broker / firm (“Broker”)</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Broker address / email for notices</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Seller / owner (“Seller”)</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Seller address / email for notices</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Business legal name (the “Business”)</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DBA / trade name</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r>
        <w:tc>
          <w:tcPr>
            <w:tcW w:type="dxa" w:w="320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b/>
                <w:bCs/>
                <w:sz w:val="20"/>
                <w:szCs w:val="20"/>
              </w:rPr>
              <w:t xml:space="preserve">Business address</w:t>
            </w:r>
          </w:p>
        </w:tc>
        <w:tc>
          <w:tcPr>
            <w:tcW w:type="dxa" w:w="6160"/>
            <w:tcBorders>
              <w:top w:val="single" w:color="BBBBBB" w:sz="1"/>
              <w:left w:val="single" w:color="BBBBBB" w:sz="1"/>
              <w:bottom w:val="single" w:color="BBBBBB" w:sz="1"/>
              <w:right w:val="single" w:color="BBBBBB" w:sz="1"/>
            </w:tcBorders>
            <w:tcMar>
              <w:top w:type="dxa" w:w="80"/>
              <w:left w:type="dxa" w:w="120"/>
              <w:bottom w:type="dxa" w:w="80"/>
              <w:right w:type="dxa" w:w="120"/>
            </w:tcMar>
          </w:tcPr>
          <w:p>
            <w:r>
              <w:rPr>
                <w:sz w:val="20"/>
                <w:szCs w:val="20"/>
              </w:rPr>
              <w:t xml:space="preserve">________________________</w:t>
            </w:r>
          </w:p>
        </w:tc>
      </w:tr>
    </w:tbl>
    <w:p>
      <w:pPr>
        <w:spacing w:after="60"/>
      </w:pPr>
      <w:r>
        <w:t xml:space="preserve"/>
      </w:r>
    </w:p>
    <w:p>
      <w:pPr>
        <w:spacing w:after="80"/>
      </w:pPr>
      <w:r>
        <w:rPr>
          <w:b/>
          <w:bCs/>
          <w:sz w:val="20"/>
          <w:szCs w:val="20"/>
        </w:rPr>
        <w:t xml:space="preserve">RECITALS</w:t>
      </w:r>
    </w:p>
    <w:p>
      <w:pPr>
        <w:spacing w:after="120"/>
      </w:pPr>
      <w:r>
        <w:rPr>
          <w:sz w:val="20"/>
          <w:szCs w:val="20"/>
        </w:rPr>
        <w:t xml:space="preserve">WHEREAS, Seller owns the Business and desires to sell substantially all of its assets or equity (a “Transfer”);</w:t>
      </w:r>
    </w:p>
    <w:p>
      <w:pPr>
        <w:spacing w:after="120"/>
      </w:pPr>
      <w:r>
        <w:rPr>
          <w:sz w:val="20"/>
          <w:szCs w:val="20"/>
        </w:rPr>
        <w:t xml:space="preserve">WHEREAS, Broker is in the business of marketing companies for sale and procuring qualified purchasers; and</w:t>
      </w:r>
    </w:p>
    <w:p>
      <w:pPr>
        <w:spacing w:after="120"/>
      </w:pPr>
      <w:r>
        <w:rPr>
          <w:sz w:val="20"/>
          <w:szCs w:val="20"/>
        </w:rPr>
        <w:t xml:space="preserve">WHEREAS, Seller desires to engage Broker as its exclusive intermediary on the terms below.</w:t>
      </w:r>
    </w:p>
    <w:p>
      <w:pPr>
        <w:spacing w:after="160"/>
      </w:pPr>
      <w:r>
        <w:rPr>
          <w:sz w:val="20"/>
          <w:szCs w:val="20"/>
        </w:rPr>
        <w:t xml:space="preserve">NOW, THEREFORE, in consideration of the mutual covenants below and other good and valuable consideration, the receipt and sufficiency of which are acknowledged, the parties agree as follows:</w:t>
      </w:r>
    </w:p>
    <w:p>
      <w:pPr>
        <w:spacing w:after="80" w:before="160"/>
      </w:pPr>
      <w:r>
        <w:rPr>
          <w:b/>
          <w:bCs/>
          <w:sz w:val="22"/>
          <w:szCs w:val="22"/>
        </w:rPr>
        <w:t xml:space="preserve">1. ENGAGEMENT &amp; EXCLUSIVITY</w:t>
      </w:r>
    </w:p>
    <w:p>
      <w:pPr>
        <w:spacing w:after="120"/>
      </w:pPr>
      <w:r>
        <w:t xml:space="preserve">Seller grants Broker the exclusive right to market the Business and to procure a purchaser during the Term. All inquiries and offers — regardless of source, including from Seller's own contacts — shall be referred to Broker and are subject to the fee in Section 4.</w:t>
      </w:r>
    </w:p>
    <w:p>
      <w:pPr>
        <w:spacing w:after="120"/>
      </w:pPr>
      <w:r>
        <w:rPr>
          <w:b/>
          <w:bCs/>
        </w:rPr>
        <w:t xml:space="preserve">Excluded parties (optional). </w:t>
      </w:r>
      <w:r>
        <w:t xml:space="preserve">The parties listed on Exhibit B (prospects Seller identified in writing before this engagement) are excluded for [60] days from the Effective Date; a Transfer to an excluded party within that window bears a reduced fee of [__]% instead of the Section 4 fee. After the window, the full fee applies.</w:t>
      </w:r>
    </w:p>
    <w:p>
      <w:pPr>
        <w:spacing w:after="80" w:before="160"/>
      </w:pPr>
      <w:r>
        <w:rPr>
          <w:b/>
          <w:bCs/>
          <w:sz w:val="22"/>
          <w:szCs w:val="22"/>
        </w:rPr>
        <w:t xml:space="preserve">2. TERM</w:t>
      </w:r>
    </w:p>
    <w:p>
      <w:pPr>
        <w:spacing w:after="120"/>
      </w:pPr>
      <w:r>
        <w:t xml:space="preserve">This Agreement begins on the Effective Date and continues for [12] months (the “Term”), renewing month-to-month thereafter until either party gives [30] days' written notice.</w:t>
      </w:r>
    </w:p>
    <w:p>
      <w:pPr>
        <w:spacing w:after="80" w:before="160"/>
      </w:pPr>
      <w:r>
        <w:rPr>
          <w:b/>
          <w:bCs/>
          <w:sz w:val="22"/>
          <w:szCs w:val="22"/>
        </w:rPr>
        <w:t xml:space="preserve">3. DEFINITION OF TRANSACTION VALUE</w:t>
      </w:r>
    </w:p>
    <w:p>
      <w:pPr>
        <w:spacing w:after="120"/>
      </w:pPr>
      <w:r>
        <w:t xml:space="preserve">“Transaction Value” means the total consideration paid or payable in connection with a Transfer, including: cash at closing; deposits; the face amount of promissory notes and deferred payments; earn-outs at the maximum stated amount (or, if unstated, amounts as and when paid); liabilities assumed or paid off by the purchaser; amounts paid for non-compete, consulting or employment agreements with Seller or its owners in excess of fair-market compensation; inventory; and amounts paid for real estate if included in the same transaction unless separately listed with a licensed real-estate broker.</w:t>
      </w:r>
    </w:p>
    <w:p>
      <w:pPr>
        <w:spacing w:after="80" w:before="160"/>
      </w:pPr>
      <w:r>
        <w:rPr>
          <w:b/>
          <w:bCs/>
          <w:sz w:val="22"/>
          <w:szCs w:val="22"/>
        </w:rPr>
        <w:t xml:space="preserve">4. SUCCESS FEE (COMMISSION)</w:t>
      </w:r>
    </w:p>
    <w:p>
      <w:pPr>
        <w:spacing w:after="120"/>
      </w:pPr>
      <w:r>
        <w:t xml:space="preserve">Upon any Transfer during the Term (or the Tail Period) to any party, Seller shall pay Broker a success fee at closing equal to the greater of:</w:t>
      </w:r>
    </w:p>
    <w:p>
      <w:pPr>
        <w:pStyle w:val="ListParagraph"/>
        <w:numPr>
          <w:ilvl w:val="0"/>
          <w:numId w:val="2"/>
        </w:numPr>
        <w:spacing w:after="60"/>
      </w:pPr>
      <w:r>
        <w:rPr>
          <w:sz w:val="20"/>
          <w:szCs w:val="20"/>
        </w:rPr>
        <w:t xml:space="preserve">(a) the Fee Schedule attached as Exhibit A applied to the Transaction Value (Double Lehman: 10% of the first $1,000,000, 8% of the second, 6% of the third, 4% of the fourth, 2% thereafter); or</w:t>
      </w:r>
    </w:p>
    <w:p>
      <w:pPr>
        <w:pStyle w:val="ListParagraph"/>
        <w:numPr>
          <w:ilvl w:val="0"/>
          <w:numId w:val="2"/>
        </w:numPr>
        <w:spacing w:after="60"/>
      </w:pPr>
      <w:r>
        <w:rPr>
          <w:sz w:val="20"/>
          <w:szCs w:val="20"/>
        </w:rPr>
        <w:t xml:space="preserve">(b) a minimum fee of $[15,000].</w:t>
      </w:r>
    </w:p>
    <w:p>
      <w:pPr>
        <w:spacing w:after="120"/>
      </w:pPr>
      <w:r>
        <w:t xml:space="preserve">The fee is earned at closing and payable in full at closing from closing proceeds or escrow. Seller instructs any closing agent to disburse Broker's fee directly at closing.</w:t>
      </w:r>
    </w:p>
    <w:p>
      <w:pPr>
        <w:spacing w:after="120"/>
      </w:pPr>
      <w:r>
        <w:rPr>
          <w:i/>
          <w:iCs/>
        </w:rPr>
        <w:t xml:space="preserve">Optional (negotiate): </w:t>
      </w:r>
      <w:r>
        <w:rPr>
          <w:i/>
          <w:iCs/>
        </w:rPr>
        <w:t xml:space="preserve">the fee is also earned if, during the Term, Broker procures a written offer at the listed price and terms from a ready, willing and able buyer and Seller refuses it, or if Seller withdraws the Business from sale, breaches this Agreement, or Transfers the Business outside this Agreement.</w:t>
      </w:r>
    </w:p>
    <w:p>
      <w:pPr>
        <w:spacing w:after="80" w:before="160"/>
      </w:pPr>
      <w:r>
        <w:rPr>
          <w:b/>
          <w:bCs/>
          <w:sz w:val="22"/>
          <w:szCs w:val="22"/>
        </w:rPr>
        <w:t xml:space="preserve">5. TAIL / RESIDUAL PERIOD</w:t>
      </w:r>
    </w:p>
    <w:p>
      <w:pPr>
        <w:spacing w:after="120"/>
      </w:pPr>
      <w:r>
        <w:t xml:space="preserve">If, within [24] months after expiration or termination (the “Tail Period”), Seller Transfers the Business to any party introduced to the Business, or with whom Broker or Seller had contact regarding the Business, during the Term, the full Section 4 fee remains payable. Broker will deliver a written list of introduced parties within [10] days after termination; that list controls.</w:t>
      </w:r>
    </w:p>
    <w:p>
      <w:pPr>
        <w:spacing w:after="80" w:before="160"/>
      </w:pPr>
      <w:r>
        <w:rPr>
          <w:b/>
          <w:bCs/>
          <w:sz w:val="22"/>
          <w:szCs w:val="22"/>
        </w:rPr>
        <w:t xml:space="preserve">6. BROKER SERVICES; ADVERTISING AUTHORIZATION</w:t>
      </w:r>
    </w:p>
    <w:p>
      <w:pPr>
        <w:spacing w:after="120"/>
      </w:pPr>
      <w:r>
        <w:t xml:space="preserve">Broker will: prepare a market value analysis and marketing materials (blind profile and confidential information memorandum) for Seller's approval; market the Business confidentially, including blind advertisements on business-for-sale marketplaces and direct outreach; screen and qualify prospective buyers under NDA; coordinate offers, negotiations, due diligence and closing logistics; and report activity to Seller at least [bi-weekly].</w:t>
      </w:r>
    </w:p>
    <w:p>
      <w:pPr>
        <w:spacing w:after="120"/>
      </w:pPr>
      <w:r>
        <w:t xml:space="preserve">Seller authorizes Broker to advertise the Business on a no-names basis. No advertisement will identify the Business without Seller's prior written approval. Broker is not an attorney, accountant or lender and provides no legal, tax or financing advice; Seller is advised to engage its own counsel and tax advisor.</w:t>
      </w:r>
    </w:p>
    <w:p>
      <w:pPr>
        <w:spacing w:after="80" w:before="160"/>
      </w:pPr>
      <w:r>
        <w:rPr>
          <w:b/>
          <w:bCs/>
          <w:sz w:val="22"/>
          <w:szCs w:val="22"/>
        </w:rPr>
        <w:t xml:space="preserve">7. SELLER OBLIGATIONS</w:t>
      </w:r>
    </w:p>
    <w:p>
      <w:pPr>
        <w:spacing w:after="120"/>
      </w:pPr>
      <w:r>
        <w:t xml:space="preserve">Seller shall: provide complete and accurate financial and operating information and update it promptly upon any material change; make books and records available; refer all inquiries to Broker; not negotiate directly with any prospect except through Broker; use reasonable efforts to obtain landlord cooperation for lease assignment; and operate the Business in the ordinary course through closing.</w:t>
      </w:r>
    </w:p>
    <w:p>
      <w:pPr>
        <w:spacing w:after="80" w:before="160"/>
      </w:pPr>
      <w:r>
        <w:rPr>
          <w:b/>
          <w:bCs/>
          <w:sz w:val="22"/>
          <w:szCs w:val="22"/>
        </w:rPr>
        <w:t xml:space="preserve">8. CONFIDENTIALITY</w:t>
      </w:r>
    </w:p>
    <w:p>
      <w:pPr>
        <w:spacing w:after="120"/>
      </w:pPr>
      <w:r>
        <w:t xml:space="preserve">Broker will market the Business on a no-names basis and obtain a signed confidentiality agreement from every prospect before disclosing identifying information. Seller authorizes disclosure of Business information to prospects who have signed such agreements. Broker will maintain a log of NDAs and provide it to Seller on request.</w:t>
      </w:r>
    </w:p>
    <w:p>
      <w:pPr>
        <w:spacing w:after="80" w:before="160"/>
      </w:pPr>
      <w:r>
        <w:rPr>
          <w:b/>
          <w:bCs/>
          <w:sz w:val="22"/>
          <w:szCs w:val="22"/>
        </w:rPr>
        <w:t xml:space="preserve">9. COOPERATION WITH OTHER BROKERS</w:t>
      </w:r>
    </w:p>
    <w:p>
      <w:pPr>
        <w:spacing w:after="120"/>
      </w:pPr>
      <w:r>
        <w:t xml:space="preserve">Broker may cooperate with other licensed intermediaries and share its fee at no additional cost to Seller. Co-broke split: [50/50] of the success fee unless otherwise agreed in writing.</w:t>
      </w:r>
    </w:p>
    <w:p>
      <w:pPr>
        <w:spacing w:after="80" w:before="160"/>
      </w:pPr>
      <w:r>
        <w:rPr>
          <w:b/>
          <w:bCs/>
          <w:sz w:val="22"/>
          <w:szCs w:val="22"/>
        </w:rPr>
        <w:t xml:space="preserve">10. DEPOSITS; ESCROW</w:t>
      </w:r>
    </w:p>
    <w:p>
      <w:pPr>
        <w:spacing w:after="120"/>
      </w:pPr>
      <w:r>
        <w:t xml:space="preserve">Buyer deposits shall be held by a neutral third-party escrow agent or attorney trust account — not by Broker — and handled per the purchase documents.</w:t>
      </w:r>
    </w:p>
    <w:p>
      <w:pPr>
        <w:spacing w:after="80" w:before="160"/>
      </w:pPr>
      <w:r>
        <w:rPr>
          <w:b/>
          <w:bCs/>
          <w:sz w:val="22"/>
          <w:szCs w:val="22"/>
        </w:rPr>
        <w:t xml:space="preserve">11. TERMINATION</w:t>
      </w:r>
    </w:p>
    <w:p>
      <w:pPr>
        <w:spacing w:after="120"/>
      </w:pPr>
      <w:r>
        <w:t xml:space="preserve">Either party may terminate for material breach on [10] days' written notice if the breach is not cured within that period. Sections 3, 4, 5, 8, 12 and 13 survive termination or expiration.</w:t>
      </w:r>
    </w:p>
    <w:p>
      <w:pPr>
        <w:spacing w:after="80" w:before="160"/>
      </w:pPr>
      <w:r>
        <w:rPr>
          <w:b/>
          <w:bCs/>
          <w:sz w:val="22"/>
          <w:szCs w:val="22"/>
        </w:rPr>
        <w:t xml:space="preserve">12. INDEMNIFICATION; ACCURACY OF INFORMATION</w:t>
      </w:r>
    </w:p>
    <w:p>
      <w:pPr>
        <w:spacing w:after="120"/>
      </w:pPr>
      <w:r>
        <w:t xml:space="preserve">Seller represents that all information furnished to Broker or prospects is and will be true and complete in all material respects, and agrees to indemnify, defend and hold Broker harmless from claims, losses and expenses (including reasonable attorney's fees) arising out of inaccurate or incomplete information supplied by Seller or its agents, or Seller's breach of this Agreement.</w:t>
      </w:r>
    </w:p>
    <w:p>
      <w:pPr>
        <w:spacing w:after="80" w:before="160"/>
      </w:pPr>
      <w:r>
        <w:rPr>
          <w:b/>
          <w:bCs/>
          <w:sz w:val="22"/>
          <w:szCs w:val="22"/>
        </w:rPr>
        <w:t xml:space="preserve">13. GENERAL PROVISIONS</w:t>
      </w:r>
    </w:p>
    <w:p>
      <w:pPr>
        <w:spacing w:after="120"/>
      </w:pPr>
      <w:r>
        <w:t xml:space="preserve">Governing law &amp; venue. This Agreement is governed by the laws of [STATE]; exclusive venue lies in the state or federal courts located in [COUNTY, STATE].</w:t>
      </w:r>
    </w:p>
    <w:p>
      <w:pPr>
        <w:spacing w:after="120"/>
      </w:pPr>
      <w:r>
        <w:t xml:space="preserve">Notices. Notices must be in writing and are effective when delivered by hand, by nationally recognized courier, or by email with confirmation of receipt, to the addresses stated above (or as updated by notice).</w:t>
      </w:r>
    </w:p>
    <w:p>
      <w:pPr>
        <w:spacing w:after="120"/>
      </w:pPr>
      <w:r>
        <w:t xml:space="preserve">Counterparts; electronic signatures. This Agreement may be executed in counterparts, each an original. Signatures delivered electronically (including DocuSign or similar, or scanned PDF) are binding to the same extent as originals.</w:t>
      </w:r>
    </w:p>
    <w:p>
      <w:pPr>
        <w:spacing w:after="120"/>
      </w:pPr>
      <w:r>
        <w:t xml:space="preserve">Severability; waiver. If any provision is held unenforceable, it will be modified to the minimum extent necessary and the remainder stays in effect. A waiver of one breach is not a waiver of any other.</w:t>
      </w:r>
    </w:p>
    <w:p>
      <w:pPr>
        <w:spacing w:after="120"/>
      </w:pPr>
      <w:r>
        <w:t xml:space="preserve">Entire agreement; amendment. This Agreement (with its exhibits) is the entire agreement on its subject and supersedes prior discussions. Amendments must be in a writing signed by both parties.</w:t>
      </w:r>
    </w:p>
    <w:p>
      <w:pPr>
        <w:spacing w:after="120"/>
      </w:pPr>
      <w:r>
        <w:t xml:space="preserve">Attorney's fees. In any action to enforce this Agreement, the prevailing party is entitled to reasonable attorney's fees and costs.</w:t>
      </w:r>
    </w:p>
    <w:p>
      <w:pPr>
        <w:spacing w:after="120"/>
      </w:pPr>
      <w:r>
        <w:t xml:space="preserve">No assignment. Neither party may assign this Agreement without the other's written consent, except Broker may engage cooperating brokers per Section 9.</w:t>
      </w:r>
    </w:p>
    <w:p>
      <w:pPr>
        <w:spacing w:after="60"/>
      </w:pPr>
      <w:r>
        <w:t xml:space="preserve"/>
      </w:r>
    </w:p>
    <w:p>
      <w:pPr>
        <w:spacing w:after="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480"/>
        <w:gridCol w:w="400"/>
        <w:gridCol w:w="4480"/>
      </w:tblGrid>
      <w:tr>
        <w:tc>
          <w:tcPr>
            <w:tcW w:type="dxa" w:w="4480"/>
            <w:tcBorders>
              <w:top w:val="none"/>
              <w:left w:val="none"/>
              <w:bottom w:val="none"/>
              <w:right w:val="none"/>
            </w:tcBorders>
          </w:tcPr>
          <w:p>
            <w:pPr>
              <w:spacing w:after="200"/>
            </w:pPr>
            <w:r>
              <w:rPr>
                <w:b/>
                <w:bCs/>
              </w:rPr>
              <w:t xml:space="preserve">SELLER</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c>
          <w:tcPr>
            <w:tcW w:type="dxa" w:w="400"/>
            <w:tcBorders>
              <w:top w:val="none"/>
              <w:left w:val="none"/>
              <w:bottom w:val="none"/>
              <w:right w:val="none"/>
            </w:tcBorders>
          </w:tcPr>
          <w:p>
            <w:pPr>
              <w:spacing w:after="120"/>
            </w:pPr>
            <w:r>
              <w:t xml:space="preserve"/>
            </w:r>
          </w:p>
        </w:tc>
        <w:tc>
          <w:tcPr>
            <w:tcW w:type="dxa" w:w="4480"/>
            <w:tcBorders>
              <w:top w:val="none"/>
              <w:left w:val="none"/>
              <w:bottom w:val="none"/>
              <w:right w:val="none"/>
            </w:tcBorders>
          </w:tcPr>
          <w:p>
            <w:pPr>
              <w:spacing w:after="200"/>
            </w:pPr>
            <w:r>
              <w:rPr>
                <w:b/>
                <w:bCs/>
              </w:rPr>
              <w:t xml:space="preserve">BROKER</w:t>
            </w:r>
          </w:p>
          <w:p>
            <w:pPr>
              <w:spacing w:after="120"/>
            </w:pPr>
            <w:r>
              <w:t xml:space="preserve">Signature: ________________________</w:t>
            </w:r>
          </w:p>
          <w:p>
            <w:pPr>
              <w:spacing w:after="120"/>
            </w:pPr>
            <w:r>
              <w:t xml:space="preserve">Name: ________________________</w:t>
            </w:r>
          </w:p>
          <w:p>
            <w:pPr>
              <w:spacing w:after="120"/>
            </w:pPr>
            <w:r>
              <w:t xml:space="preserve">Title: ________________________</w:t>
            </w:r>
          </w:p>
          <w:p>
            <w:pPr>
              <w:spacing w:after="120"/>
            </w:pPr>
            <w:r>
              <w:t xml:space="preserve">Date: ____________</w:t>
            </w:r>
          </w:p>
        </w:tc>
      </w:tr>
    </w:tbl>
    <w:p>
      <w:pPr>
        <w:spacing w:after="60"/>
      </w:pPr>
      <w:r>
        <w:t xml:space="preserve"/>
      </w:r>
    </w:p>
    <w:p>
      <w:pPr>
        <w:spacing w:after="120"/>
      </w:pPr>
      <w:r>
        <w:rPr>
          <w:i/>
          <w:iCs/>
          <w:sz w:val="19"/>
          <w:szCs w:val="19"/>
        </w:rPr>
        <w:t xml:space="preserve">Exhibit A — Commission &amp; Fee Schedule (attached) · Exhibit B — Excluded parties (if any): ________________________</w:t>
      </w:r>
    </w:p>
    <w:sectPr>
      <w:headerReference w:type="default" r:id="rId7"/>
      <w:footerReference w:type="default" r:id="rId8"/>
      <w:pgSz w:w="12240" w:h="15840" w:orient="portrait"/>
      <w:pgMar w:top="1240" w:right="1440" w:bottom="12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40"/>
    </w:pPr>
    <w:r>
      <w:rPr>
        <w:i/>
        <w:iCs/>
        <w:color w:val="999999"/>
        <w:sz w:val="14"/>
        <w:szCs w:val="14"/>
      </w:rPr>
      <w:t xml:space="preserve">Educational template (v2) — not legal, tax or financial advice. Laws vary by state; have a qualified attorney review before use in a live transaction.</w:t>
    </w:r>
  </w:p>
  <w:p>
    <w:r>
      <w:rPr>
        <w:color w:val="999999"/>
        <w:sz w:val="14"/>
        <w:szCs w:val="14"/>
      </w:rPr>
      <w:t xml:space="preserve">Page </w:t>
    </w:r>
    <w:r>
      <w:rPr>
        <w:color w:val="999999"/>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pPr>
    <w:r>
      <w:rPr>
        <w:b/>
        <w:bCs/>
        <w:color w:val="6B8E00"/>
        <w:sz w:val="16"/>
        <w:szCs w:val="16"/>
      </w:rPr>
      <w:t xml:space="preserve">SOLO BROKER OS</w:t>
    </w:r>
    <w:r>
      <w:rPr>
        <w:color w:val="999999"/>
        <w:sz w:val="16"/>
        <w:szCs w:val="16"/>
      </w:rPr>
      <w:t xml:space="preserve">	becomebusinessbroker.com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20" w:hanging="320"/>
      </w:pPr>
    </w:lvl>
  </w:abstractNum>
  <w:abstractNum w:abstractNumId="3" w15:restartNumberingAfterBreak="0">
    <w:multiLevelType w:val="hybridMultilevel"/>
    <w:lvl w:ilvl="0" w15:tentative="1">
      <w:start w:val="1"/>
      <w:numFmt w:val="bullet"/>
      <w:lvlText w:val="☐"/>
      <w:lvlJc w:val="left"/>
      <w:pPr>
        <w:ind w:left="620" w:hanging="320"/>
      </w:pPr>
    </w:lvl>
  </w:abstractNum>
  <w:abstractNum w:abstractNumId="4" w15:restartNumberingAfterBreak="0">
    <w:multiLevelType w:val="hybridMultilevel"/>
    <w:lvl w:ilvl="0" w15:tentative="1">
      <w:start w:val="1"/>
      <w:numFmt w:val="decimal"/>
      <w:lvlText w:val="%1."/>
      <w:lvlJc w:val="left"/>
      <w:pPr>
        <w:ind w:left="620" w:hanging="3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2026-07-02T11:48:52.973Z</dcterms:created>
  <dcterms:modified xsi:type="dcterms:W3CDTF">2026-07-02T11:48:52.992Z</dcterms:modified>
</cp:coreProperties>
</file>

<file path=docProps/custom.xml><?xml version="1.0" encoding="utf-8"?>
<Properties xmlns="http://schemas.openxmlformats.org/officeDocument/2006/custom-properties" xmlns:vt="http://schemas.openxmlformats.org/officeDocument/2006/docPropsVTypes"/>
</file>