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BUYER CONFIDENTIALITY &amp; NON-DISCLOSURE AGREEMENT</w:t>
      </w:r>
    </w:p>
    <w:p>
      <w:pPr>
        <w:pBdr>
          <w:bottom w:val="single" w:color="9BC400" w:sz="8" w:space="2"/>
        </w:pBdr>
        <w:spacing w:after="80"/>
      </w:pPr>
      <w:r>
        <w:rPr>
          <w:i/>
          <w:iCs/>
          <w:color w:val="555555"/>
          <w:sz w:val="21"/>
          <w:szCs w:val="21"/>
        </w:rPr>
        <w:t xml:space="preserve">Signed before a buyer sees any identifying information or the CIM.</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Prospective buyer — individual (“Recipient”)</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Recipient entity (if any — bound jointly)</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Address / email for notices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Broker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Listing reference #</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bl>
    <w:p>
      <w:pPr>
        <w:spacing w:after="60"/>
      </w:pPr>
      <w:r>
        <w:t xml:space="preserve"/>
      </w:r>
    </w:p>
    <w:p>
      <w:pPr>
        <w:spacing w:after="80" w:before="160"/>
      </w:pPr>
      <w:r>
        <w:rPr>
          <w:b/>
          <w:bCs/>
          <w:sz w:val="22"/>
          <w:szCs w:val="22"/>
        </w:rPr>
        <w:t xml:space="preserve">1. CONFIDENTIAL INFORMATION</w:t>
      </w:r>
    </w:p>
    <w:p>
      <w:pPr>
        <w:spacing w:after="120"/>
      </w:pPr>
      <w:r>
        <w:t xml:space="preserve">“Confidential Information” means all information concerning the business identified by the listing reference above (the “Business”), disclosed by Broker or the owner in any form, before or after this date, including its identity, location, financial statements, tax returns, customer and supplier lists, contracts, processes, employees, and the fact that it is for sale. Exclusions: information that is or becomes public through no fault of Recipient, was lawfully known to Recipient before disclosure, or is independently developed without use of Confidential Information.</w:t>
      </w:r>
    </w:p>
    <w:p>
      <w:pPr>
        <w:spacing w:after="80" w:before="160"/>
      </w:pPr>
      <w:r>
        <w:rPr>
          <w:b/>
          <w:bCs/>
          <w:sz w:val="22"/>
          <w:szCs w:val="22"/>
        </w:rPr>
        <w:t xml:space="preserve">2. PERMITTED USE; NO COMPETITIVE USE</w:t>
      </w:r>
    </w:p>
    <w:p>
      <w:pPr>
        <w:spacing w:after="120"/>
      </w:pPr>
      <w:r>
        <w:t xml:space="preserve">Recipient will use Confidential Information solely to evaluate a possible acquisition of the Business, will not copy or distribute it, and will limit disclosure to professional advisors who need it and are bound by confidentiality obligations at least as protective as these. Recipient is responsible for its advisors' compliance. Recipient will not use Confidential Information to compete with the Business, to solicit its customers or suppliers, or for any other purpose.</w:t>
      </w:r>
    </w:p>
    <w:p>
      <w:pPr>
        <w:spacing w:after="80" w:before="160"/>
      </w:pPr>
      <w:r>
        <w:rPr>
          <w:b/>
          <w:bCs/>
          <w:sz w:val="22"/>
          <w:szCs w:val="22"/>
        </w:rPr>
        <w:t xml:space="preserve">3. NON-CIRCUMVENTION</w:t>
      </w:r>
    </w:p>
    <w:p>
      <w:pPr>
        <w:spacing w:after="120"/>
      </w:pPr>
      <w:r>
        <w:t xml:space="preserve">For [24] months, Recipient will not contact the Business, its owner, employees, customers, suppliers or landlord directly, and will conduct all inquiries, site visits, offers and negotiations exclusively through Broker. Any acquisition of the Business (in whole or part, by any structure) by Recipient or an affiliate within such period shall be deemed procured by Broker for fee purposes.</w:t>
      </w:r>
    </w:p>
    <w:p>
      <w:pPr>
        <w:spacing w:after="80" w:before="160"/>
      </w:pPr>
      <w:r>
        <w:rPr>
          <w:b/>
          <w:bCs/>
          <w:sz w:val="22"/>
          <w:szCs w:val="22"/>
        </w:rPr>
        <w:t xml:space="preserve">4. NON-SOLICITATION</w:t>
      </w:r>
    </w:p>
    <w:p>
      <w:pPr>
        <w:spacing w:after="120"/>
      </w:pPr>
      <w:r>
        <w:t xml:space="preserve">For [24] months, Recipient will not solicit for employment any employee of the Business identified through this process, other than through general advertisements not targeted at them.</w:t>
      </w:r>
    </w:p>
    <w:p>
      <w:pPr>
        <w:spacing w:after="80" w:before="160"/>
      </w:pPr>
      <w:r>
        <w:rPr>
          <w:b/>
          <w:bCs/>
          <w:sz w:val="22"/>
          <w:szCs w:val="22"/>
        </w:rPr>
        <w:t xml:space="preserve">5. NO REPRESENTATION; NO OBLIGATION</w:t>
      </w:r>
    </w:p>
    <w:p>
      <w:pPr>
        <w:spacing w:after="120"/>
      </w:pPr>
      <w:r>
        <w:t xml:space="preserve">All information is provided by the owner. Broker has not audited or verified it and makes no representation or warranty as to accuracy or completeness; Recipient will rely solely on its own due diligence. Nothing in this Agreement obligates any party to negotiate or complete a transaction; no agreement to sell exists unless and until definitive written agreements are executed by owner and Recipient.</w:t>
      </w:r>
    </w:p>
    <w:p>
      <w:pPr>
        <w:spacing w:after="80" w:before="160"/>
      </w:pPr>
      <w:r>
        <w:rPr>
          <w:b/>
          <w:bCs/>
          <w:sz w:val="22"/>
          <w:szCs w:val="22"/>
        </w:rPr>
        <w:t xml:space="preserve">6. TERM; RETURN OF MATERIALS</w:t>
      </w:r>
    </w:p>
    <w:p>
      <w:pPr>
        <w:spacing w:after="120"/>
      </w:pPr>
      <w:r>
        <w:t xml:space="preserve">These obligations last [3] years from the date above (non-circumvention and non-solicitation for the periods stated in Sections 3–4). On request, Recipient will promptly return or destroy all Confidential Information and certify destruction in writing.</w:t>
      </w:r>
    </w:p>
    <w:p>
      <w:pPr>
        <w:spacing w:after="80" w:before="160"/>
      </w:pPr>
      <w:r>
        <w:rPr>
          <w:b/>
          <w:bCs/>
          <w:sz w:val="22"/>
          <w:szCs w:val="22"/>
        </w:rPr>
        <w:t xml:space="preserve">7. REMEDIES</w:t>
      </w:r>
    </w:p>
    <w:p>
      <w:pPr>
        <w:spacing w:after="120"/>
      </w:pPr>
      <w:r>
        <w:t xml:space="preserve">A breach would cause irreparable harm not adequately compensable in damages; the owner and Broker are each entitled to seek injunctive relief without posting bond, in addition to all other remedies. The Business's owner is an intended third-party beneficiary of this Agreement.</w:t>
      </w:r>
    </w:p>
    <w:p>
      <w:pPr>
        <w:spacing w:after="80" w:before="160"/>
      </w:pPr>
      <w:r>
        <w:rPr>
          <w:b/>
          <w:bCs/>
          <w:sz w:val="22"/>
          <w:szCs w:val="22"/>
        </w:rPr>
        <w:t xml:space="preserve">8. GENERAL PROVISIONS</w:t>
      </w:r>
    </w:p>
    <w:p>
      <w:pPr>
        <w:spacing w:after="120"/>
      </w:pPr>
      <w:r>
        <w:t xml:space="preserve">Governing law &amp; venue. This Agreement is governed by the laws of [STATE]; exclusive venue lies in the state or federal courts located in [COUNTY, STATE].</w:t>
      </w:r>
    </w:p>
    <w:p>
      <w:pPr>
        <w:spacing w:after="120"/>
      </w:pPr>
      <w:r>
        <w:t xml:space="preserve">Notices. Notices must be in writing and are effective when delivered by hand, by nationally recognized courier, or by email with confirmation of receipt, to the addresses stated above (or as updated by notice).</w:t>
      </w:r>
    </w:p>
    <w:p>
      <w:pPr>
        <w:spacing w:after="120"/>
      </w:pPr>
      <w:r>
        <w:t xml:space="preserve">Counterparts; electronic signatures. This Agreement may be executed in counterparts, each an original. Signatures delivered electronically (including DocuSign or similar, or scanned PDF) are binding to the same extent as originals.</w:t>
      </w:r>
    </w:p>
    <w:p>
      <w:pPr>
        <w:spacing w:after="120"/>
      </w:pPr>
      <w:r>
        <w:t xml:space="preserve">Severability; waiver. If any provision is held unenforceable, it will be modified to the minimum extent necessary and the remainder stays in effect. A waiver of one breach is not a waiver of any other.</w:t>
      </w:r>
    </w:p>
    <w:p>
      <w:pPr>
        <w:spacing w:after="120"/>
      </w:pPr>
      <w:r>
        <w:t xml:space="preserve">Entire agreement; amendment. This Agreement (with its exhibits) is the entire agreement on its subject and supersedes prior discussions. Amendments must be in a writing signed by both parties.</w:t>
      </w:r>
    </w:p>
    <w:p>
      <w:pPr>
        <w:spacing w:after="120"/>
      </w:pPr>
      <w:r>
        <w:t xml:space="preserve">Attorney's fees. In any action to enforce this Agreement, the prevailing party is entitled to reasonable attorney's fees and costs.</w:t>
      </w:r>
    </w:p>
    <w:p>
      <w:pPr>
        <w:spacing w:after="120"/>
      </w:pPr>
      <w:r>
        <w:t xml:space="preserve">Signing capacity. The individual signing below is bound personally and, if an entity is named above, also binds that entity jointly and severally.</w:t>
      </w:r>
    </w:p>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RECIPIENT (INDIVIDUALLY &amp; FOR ENTITY)</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BROKER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2026-07-02T11:48:53.245Z</dcterms:created>
  <dcterms:modified xsi:type="dcterms:W3CDTF">2026-07-02T11:48:53.245Z</dcterms:modified>
</cp:coreProperties>
</file>

<file path=docProps/custom.xml><?xml version="1.0" encoding="utf-8"?>
<Properties xmlns="http://schemas.openxmlformats.org/officeDocument/2006/custom-properties" xmlns:vt="http://schemas.openxmlformats.org/officeDocument/2006/docPropsVTypes"/>
</file>